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59" w:rsidRDefault="00A67E9D">
      <w:pPr>
        <w:spacing w:line="259" w:lineRule="auto"/>
        <w:ind w:firstLine="0"/>
      </w:pPr>
      <w:bookmarkStart w:id="0" w:name="_GoBack"/>
      <w:bookmarkEnd w:id="0"/>
      <w:r>
        <w:t xml:space="preserve">Проект доклада на заседание Экономического совета при Кабинете </w:t>
      </w:r>
    </w:p>
    <w:p w:rsidR="00580059" w:rsidRDefault="00A67E9D">
      <w:pPr>
        <w:spacing w:after="64" w:line="259" w:lineRule="auto"/>
        <w:ind w:left="10" w:hanging="10"/>
        <w:jc w:val="center"/>
      </w:pPr>
      <w:r>
        <w:t xml:space="preserve">Министров Республики Татарстан «О создании и развитии промышленных парков и промышленных площадок муниципального уровня Республики Татарстан» </w:t>
      </w:r>
    </w:p>
    <w:p w:rsidR="00580059" w:rsidRDefault="00A67E9D">
      <w:pPr>
        <w:spacing w:after="188" w:line="259" w:lineRule="auto"/>
        <w:ind w:left="774" w:firstLine="0"/>
        <w:jc w:val="center"/>
      </w:pPr>
      <w:r>
        <w:t xml:space="preserve"> </w:t>
      </w:r>
    </w:p>
    <w:p w:rsidR="00580059" w:rsidRDefault="00A67E9D">
      <w:pPr>
        <w:spacing w:after="0" w:line="396" w:lineRule="auto"/>
        <w:ind w:left="2737" w:right="1953" w:hanging="10"/>
        <w:jc w:val="center"/>
      </w:pPr>
      <w:r>
        <w:t xml:space="preserve">Уважаемый Рустам Нургалиевич! </w:t>
      </w:r>
      <w:r>
        <w:t xml:space="preserve">Уважаемый Ильдар Шафкатович! </w:t>
      </w:r>
    </w:p>
    <w:p w:rsidR="00580059" w:rsidRDefault="00A67E9D">
      <w:pPr>
        <w:spacing w:after="131" w:line="259" w:lineRule="auto"/>
        <w:ind w:left="2737" w:right="2022" w:hanging="10"/>
        <w:jc w:val="center"/>
      </w:pPr>
      <w:r>
        <w:t xml:space="preserve">Уважаемые коллеги! </w:t>
      </w:r>
    </w:p>
    <w:p w:rsidR="00580059" w:rsidRDefault="00A67E9D">
      <w:pPr>
        <w:spacing w:after="186" w:line="259" w:lineRule="auto"/>
        <w:ind w:left="708" w:firstLine="0"/>
        <w:jc w:val="left"/>
      </w:pPr>
      <w:r>
        <w:t xml:space="preserve"> </w:t>
      </w:r>
    </w:p>
    <w:p w:rsidR="00580059" w:rsidRDefault="00A67E9D">
      <w:pPr>
        <w:ind w:left="-15"/>
      </w:pPr>
      <w:r>
        <w:t xml:space="preserve">Текущая экономическая ситуация требует эффективной реализации мероприятий, направленных на повышение инвестиционной привлекательности и формирование комфортной предпринимательской среды. </w:t>
      </w:r>
    </w:p>
    <w:p w:rsidR="00580059" w:rsidRDefault="00A67E9D">
      <w:pPr>
        <w:ind w:left="-15"/>
      </w:pPr>
      <w:r>
        <w:t>Улучшение делово</w:t>
      </w:r>
      <w:r>
        <w:t xml:space="preserve">го климата является важнейшим фактором развития малого и среднего бизнеса, который сегодня формирует четверть ВРП нашей республики. </w:t>
      </w:r>
    </w:p>
    <w:p w:rsidR="00580059" w:rsidRDefault="00A67E9D">
      <w:pPr>
        <w:ind w:left="-15"/>
      </w:pPr>
      <w:r>
        <w:t>На протяжении последних 3 лет наблюдается незначительный рост доли малого и среднего бизнеса в экономике республики</w:t>
      </w:r>
      <w:r>
        <w:rPr>
          <w:i/>
        </w:rPr>
        <w:t>.</w:t>
      </w:r>
      <w:r>
        <w:t xml:space="preserve"> </w:t>
      </w:r>
    </w:p>
    <w:p w:rsidR="00580059" w:rsidRDefault="00A67E9D">
      <w:pPr>
        <w:ind w:left="-15"/>
      </w:pPr>
      <w:r>
        <w:t>При э</w:t>
      </w:r>
      <w:r>
        <w:t xml:space="preserve">том доля промышленного малого и среднего бизнеса в республике существенно ниже, чем в европейских странах. Одной наших из задач является увеличение этого показателя. </w:t>
      </w:r>
    </w:p>
    <w:p w:rsidR="00580059" w:rsidRDefault="00A67E9D">
      <w:pPr>
        <w:ind w:left="-15"/>
      </w:pPr>
      <w:r>
        <w:t>Для этого необходимо принятие дополнительных мер по стимулированию создания и развития но</w:t>
      </w:r>
      <w:r>
        <w:t xml:space="preserve">вых малых и средних производств в реальном секторе, от чего во многом зависит устойчивость экономического роста в среднесрочной перспективе. </w:t>
      </w:r>
    </w:p>
    <w:p w:rsidR="00580059" w:rsidRDefault="00A67E9D">
      <w:pPr>
        <w:ind w:left="-15"/>
      </w:pPr>
      <w:r>
        <w:t xml:space="preserve">Ключевая роль в этой работе отводится муниципальным образованиям республики, от активной работы которых зависит и </w:t>
      </w:r>
      <w:r>
        <w:t xml:space="preserve">инвестиционная привлекательность республики в целом. </w:t>
      </w:r>
    </w:p>
    <w:p w:rsidR="00580059" w:rsidRDefault="00A67E9D">
      <w:pPr>
        <w:ind w:left="-15"/>
      </w:pPr>
      <w:r>
        <w:t>Необходимо отметить, что большинство лидеров Национального рейтинга состояния инвестиционного климата в российских регионах – это субъекты, где меры финансовой и инфраструктурной поддержки активно разви</w:t>
      </w:r>
      <w:r>
        <w:t xml:space="preserve">ваются не только на региональном, но и на муниципальном уровнях. </w:t>
      </w:r>
    </w:p>
    <w:p w:rsidR="00580059" w:rsidRDefault="00A67E9D">
      <w:pPr>
        <w:ind w:left="-15"/>
      </w:pPr>
      <w:r>
        <w:lastRenderedPageBreak/>
        <w:t>Вместе с тем, в республике в настоящее время уровень развития малого и среднего бизнеса значительно различается по муниципальным образованиям. Это зависит не только от структуры экономики му</w:t>
      </w:r>
      <w:r>
        <w:t xml:space="preserve">ниципального образования с его спецификой, но и от активности органов местного самоуправления в решении вопросов развития предпринимательства. </w:t>
      </w:r>
    </w:p>
    <w:p w:rsidR="00580059" w:rsidRDefault="00A67E9D">
      <w:pPr>
        <w:ind w:left="-15"/>
      </w:pPr>
      <w:r>
        <w:t>Для преодоления дифференциации в настоящее время во всех муниципальных образованиях республики приступили к реал</w:t>
      </w:r>
      <w:r>
        <w:t xml:space="preserve">изации Муниципального стандарта повышения инвестиционной привлекательности, разработанного в рамках нашей совместной работы с Агентством стратегических инициатив. </w:t>
      </w:r>
    </w:p>
    <w:p w:rsidR="00580059" w:rsidRDefault="00A67E9D">
      <w:pPr>
        <w:ind w:left="-15"/>
      </w:pPr>
      <w:r>
        <w:t>Кроме того, реализуется дорожная карта развития малого и среднего предпринимательства в Респ</w:t>
      </w:r>
      <w:r>
        <w:t xml:space="preserve">ублике Татарстан на 2014-2016 годы, утвержденная постановлением Кабинета Министров Республики Татарстан. </w:t>
      </w:r>
    </w:p>
    <w:p w:rsidR="00580059" w:rsidRDefault="00A67E9D">
      <w:pPr>
        <w:ind w:left="-15"/>
      </w:pPr>
      <w:r>
        <w:t xml:space="preserve">Одним из основных мероприятий «Дорожной карты» является создание промышленных площадок муниципального уровня, что, по нашему мнению, </w:t>
      </w:r>
      <w:r>
        <w:t xml:space="preserve">должно напрямую повлиять на повышение деловой активности в муниципальных образованиях. </w:t>
      </w:r>
    </w:p>
    <w:p w:rsidR="00580059" w:rsidRDefault="00A67E9D">
      <w:pPr>
        <w:ind w:left="-15"/>
      </w:pPr>
      <w:r>
        <w:t xml:space="preserve">Данная форма инфраструктурной поддержки бизнеса широко применяется в ведущих странах мира, где первые промышленные парки появились уже более 100 лет назад. </w:t>
      </w:r>
    </w:p>
    <w:p w:rsidR="00580059" w:rsidRDefault="00A67E9D">
      <w:pPr>
        <w:ind w:left="-15"/>
      </w:pPr>
      <w:r>
        <w:t>В настоящее</w:t>
      </w:r>
      <w:r>
        <w:t xml:space="preserve"> время в быстроразвивающихся странах </w:t>
      </w:r>
      <w:r>
        <w:rPr>
          <w:i/>
        </w:rPr>
        <w:t>(Китай, Индия)</w:t>
      </w:r>
      <w:r>
        <w:t xml:space="preserve"> число промышленных парков превышает 500. </w:t>
      </w:r>
    </w:p>
    <w:p w:rsidR="00580059" w:rsidRDefault="00A67E9D">
      <w:pPr>
        <w:ind w:left="-15"/>
      </w:pPr>
      <w:r>
        <w:t>Важна и ориентация именно на малый бизнес – в Швеции и Японии, к примеру, в промышленных парках большинство компонентов для всемирно известных автомобильных конце</w:t>
      </w:r>
      <w:r>
        <w:t xml:space="preserve">рнов производятся высокотехнологичными малыми предприятиями, чей штат, порой, не превышает одного-двух человек. </w:t>
      </w:r>
    </w:p>
    <w:p w:rsidR="00580059" w:rsidRDefault="00A67E9D">
      <w:pPr>
        <w:ind w:left="-15"/>
      </w:pPr>
      <w:r>
        <w:t>В России же сегмент индустриальных парков начал развиваться совсем недавно. Своим формированием он также обязан, прежде всего, автомобильной пр</w:t>
      </w:r>
      <w:r>
        <w:t xml:space="preserve">омышленности, так как резиденты технопарков являются поставщиками </w:t>
      </w:r>
      <w:r>
        <w:lastRenderedPageBreak/>
        <w:t xml:space="preserve">комплектующих для крупных российских (КАМАЗ) и иностранных (VW, Skoda, Volvo) автозаводов. </w:t>
      </w:r>
    </w:p>
    <w:p w:rsidR="00580059" w:rsidRDefault="00A67E9D">
      <w:pPr>
        <w:ind w:left="-15"/>
      </w:pPr>
      <w:r>
        <w:t>Как показывает анализ Ассоциации индустриальных парков, за последний год количество реализуемых пр</w:t>
      </w:r>
      <w:r>
        <w:t xml:space="preserve">оектов по созданию промышленных парков показывает положительную динамику. Подробнее о статистике отрасли и стандарте индустриальных парков расскажет сегодня директор Ассоциации индустриальных парков Денис Владимирович Журавский. </w:t>
      </w:r>
    </w:p>
    <w:p w:rsidR="00580059" w:rsidRDefault="00A67E9D">
      <w:pPr>
        <w:ind w:left="-15"/>
      </w:pPr>
      <w:r>
        <w:t>В Республике Татарстан так</w:t>
      </w:r>
      <w:r>
        <w:t>же накоплен богатый опыт создания и развития промышленных площадок. В ежегодном Послании Президента Республики Татарстан Государственному Совету Республики Татарстан подчеркнуто, что созданные в республике технопарковые структуры показали свою эффективност</w:t>
      </w:r>
      <w:r>
        <w:t xml:space="preserve">ь. </w:t>
      </w:r>
    </w:p>
    <w:p w:rsidR="00580059" w:rsidRDefault="00A67E9D">
      <w:pPr>
        <w:ind w:left="-15" w:firstLine="0"/>
      </w:pPr>
      <w:r>
        <w:t>Ежегодный рост оборота резидентов таких структур составляет 9-10% - это на 2-3 п.п. выше, чем в среднем по республике. При этом в аккредитованных инновационных технопарках доля инновационной продукции достигает 70%, что более чем в 3 раза превышает сре</w:t>
      </w:r>
      <w:r>
        <w:t xml:space="preserve">дний уровень по республике. </w:t>
      </w:r>
    </w:p>
    <w:p w:rsidR="00580059" w:rsidRDefault="00A67E9D">
      <w:pPr>
        <w:ind w:left="-15"/>
      </w:pPr>
      <w:r>
        <w:t xml:space="preserve">Вместе с тем, необходимо отметить, что почти 90% всего оборота резидентов приходится лишь на 4 крупнейших площадки республики, где созданы все условия для предпринимателей. </w:t>
      </w:r>
    </w:p>
    <w:p w:rsidR="00580059" w:rsidRDefault="00A67E9D">
      <w:pPr>
        <w:spacing w:after="186" w:line="259" w:lineRule="auto"/>
        <w:ind w:left="708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Прежде всего, это инфраструктура. </w:t>
      </w:r>
    </w:p>
    <w:p w:rsidR="00580059" w:rsidRDefault="00A67E9D">
      <w:pPr>
        <w:ind w:left="-15"/>
      </w:pPr>
      <w:r>
        <w:t>При создании би</w:t>
      </w:r>
      <w:r>
        <w:t>знеса приобретенное оборудование необходимо разместить на производственных площадях, его необходимо подключить к сетям, зачастую необходимо оформление различной разрешительной документации. Традиционное «гаражное» размещение малых производств имеет очевидн</w:t>
      </w:r>
      <w:r>
        <w:t xml:space="preserve">ые минусы от потери в качественной составляющей изделий, до возможных штрафных санкций со стороны контролирующих органов. </w:t>
      </w:r>
    </w:p>
    <w:p w:rsidR="00580059" w:rsidRDefault="00A67E9D">
      <w:pPr>
        <w:ind w:left="-15"/>
      </w:pPr>
      <w:r>
        <w:t xml:space="preserve">Именно поэтому нужна современная инфраструктура для высокотехнологичного промышленного производства. </w:t>
      </w:r>
    </w:p>
    <w:p w:rsidR="00580059" w:rsidRDefault="00A67E9D">
      <w:pPr>
        <w:ind w:left="-15"/>
      </w:pPr>
      <w:r>
        <w:lastRenderedPageBreak/>
        <w:t>При выборе индустриального парк</w:t>
      </w:r>
      <w:r>
        <w:t>а как места размещения будущего производства резидент получает все необходимое для полноценной деятельности своего бизнеса. Помимо полного объема инженерных коммуникаций, дорог и гостиниц, предоставляется полный спектр обслуживания, начиная с эксплуатацион</w:t>
      </w:r>
      <w:r>
        <w:t>ных и коммунальных работ и заканчивая индивидуальным подходом к возникающим потребностям. В данном случае управляющая компания, оказывающая все специализированные услуги, функционирует по принципу «одного окна» - резидентам нет необходимости самостоятельно</w:t>
      </w:r>
      <w:r>
        <w:t xml:space="preserve"> выходить на муниципальные органы гос.власти, естественные монополии и т.п. </w:t>
      </w:r>
    </w:p>
    <w:p w:rsidR="00580059" w:rsidRDefault="00A67E9D">
      <w:pPr>
        <w:ind w:left="-15"/>
      </w:pPr>
      <w:r>
        <w:t>В ряде индустриальных парков были открыты специализированные центры для обучения персонала, построено арендное жилье и т.д. Все обозначенное существенно ускоряет запуск и выход пр</w:t>
      </w:r>
      <w:r>
        <w:t xml:space="preserve">оизводства резидентов на заданную проектную мощность. </w:t>
      </w:r>
    </w:p>
    <w:p w:rsidR="00580059" w:rsidRDefault="00A67E9D">
      <w:pPr>
        <w:ind w:left="-15"/>
      </w:pPr>
      <w:r>
        <w:t xml:space="preserve">При этом необходимо отметить, что в настоящее время создание социальной инфраструктуры отстает от реализации инвестиционных планов предприятий. Инвестор зашел на площадку, привлек трудовые ресурсы, но </w:t>
      </w:r>
      <w:r>
        <w:t>из-за отсутствия арендного жилья вынужден сам решать эти вопросы. Яркий пример – промышленный парк «Тюлячи»: турецкий инвестор (ООО «Фимако») разместился на площадке, но ждет запуска арендного жилья. С учетом ранее данных поручений и запуска объекта строит</w:t>
      </w:r>
      <w:r>
        <w:t xml:space="preserve">ельства считаем целесообразным отслеживать ход его реализации на еженедельных субботних совещаниях по строительству. </w:t>
      </w:r>
    </w:p>
    <w:p w:rsidR="00580059" w:rsidRDefault="00A67E9D">
      <w:pPr>
        <w:ind w:left="-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Еще одним преимуществом промышленных парков является возможность кооперации и взаимодействия с крупным бизнесом. </w:t>
      </w:r>
    </w:p>
    <w:p w:rsidR="00580059" w:rsidRDefault="00A67E9D">
      <w:pPr>
        <w:ind w:left="-15"/>
      </w:pPr>
      <w:r>
        <w:t>Расположение вблизи к</w:t>
      </w:r>
      <w:r>
        <w:t>рупных предприятий и объектов со схожими или смежными сферами деятельности создает дополнительные возможности. Такое расположение благоприятно сказывается на производственных процессах каждого из резидентов, уменьшая затраты на логистику материалов и сокра</w:t>
      </w:r>
      <w:r>
        <w:t xml:space="preserve">щая сроки производства путем доставок по принципу «точно в срок». </w:t>
      </w:r>
    </w:p>
    <w:p w:rsidR="00580059" w:rsidRDefault="00A67E9D">
      <w:pPr>
        <w:ind w:left="-15"/>
      </w:pPr>
      <w:r>
        <w:lastRenderedPageBreak/>
        <w:t>Кроме того, проведенный нами анализ показывает, что резиденты промпарков не всегда имеют возможность приобретать столь необходимые для них продукцию или сырье напрямую от крупных предприяти</w:t>
      </w:r>
      <w:r>
        <w:t xml:space="preserve">й. В результате они вынуждены работать через посредников, тем самым увеличивая себестоимость своей продукции. </w:t>
      </w:r>
    </w:p>
    <w:p w:rsidR="00580059" w:rsidRDefault="00A67E9D">
      <w:pPr>
        <w:ind w:left="-15"/>
      </w:pPr>
      <w:r>
        <w:t>Полагаем, что отраслевым министерствам необходимо осуществлять, вопервых, анализ потребностей крупного бизнеса в комплектующих и компонентах, пос</w:t>
      </w:r>
      <w:r>
        <w:t xml:space="preserve">тавщиками которых могут стать субъекты МСП. </w:t>
      </w:r>
    </w:p>
    <w:p w:rsidR="00580059" w:rsidRDefault="00A67E9D">
      <w:pPr>
        <w:ind w:left="-15"/>
      </w:pPr>
      <w:r>
        <w:t xml:space="preserve">Во-вторых, отраслевые министерства должны четко представлять и потребности малого бизнеса в основной и побочной продукции, производимой крупными предприятиями. С учетом структуры ввозимой в республику продукции </w:t>
      </w:r>
      <w:r>
        <w:t xml:space="preserve">и комплектующих данные мероприятия будут содействовать курсу на импортозамещение. </w:t>
      </w:r>
    </w:p>
    <w:p w:rsidR="00580059" w:rsidRDefault="00A67E9D">
      <w:pPr>
        <w:ind w:left="-15"/>
      </w:pPr>
      <w:r>
        <w:t>Ярким примером является индустриальный парк КИП-Мастер – здесь вокруг КАМАЗа расположились резиденты, сферой деятельности которых является производство автокомпонентов, и ко</w:t>
      </w:r>
      <w:r>
        <w:t xml:space="preserve">торые имеют кооперационные связи не только с автозаводом, но и между собой, образуя в итоге своего рода «симбиоз резидентов». </w:t>
      </w:r>
    </w:p>
    <w:p w:rsidR="00580059" w:rsidRDefault="00A67E9D">
      <w:pPr>
        <w:ind w:left="-15"/>
      </w:pPr>
      <w:r>
        <w:t>Аналогичный положительный пример кооперации крупного и малого бизнеса – компания ПОЗИС, вокруг которой сконцентрированы предприят</w:t>
      </w:r>
      <w:r>
        <w:t xml:space="preserve">ия МСБ, производящие комплектующие для холодильной промышленности. Вместе с тем, так как эти предприятия расположены не на единой промышленной площадке, их кооперационные связи намного слабее, чем у резидентов КИП-Мастера, что, несомненно, влияет на темпы </w:t>
      </w:r>
      <w:r>
        <w:t xml:space="preserve">роста оборота. </w:t>
      </w:r>
    </w:p>
    <w:p w:rsidR="00580059" w:rsidRDefault="00A67E9D">
      <w:pPr>
        <w:ind w:left="-1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И, наконец, немаловажным аргументом в пользу индустриальных парков являются налоговые льготы. </w:t>
      </w:r>
    </w:p>
    <w:p w:rsidR="00580059" w:rsidRDefault="00A67E9D">
      <w:pPr>
        <w:ind w:left="-15"/>
      </w:pPr>
      <w:r>
        <w:t xml:space="preserve">Стоит отметить, что льготы могут распространяться только на налоги, идущие в местный и региональный бюджеты: </w:t>
      </w:r>
    </w:p>
    <w:p w:rsidR="00580059" w:rsidRDefault="00A67E9D">
      <w:pPr>
        <w:numPr>
          <w:ilvl w:val="0"/>
          <w:numId w:val="1"/>
        </w:numPr>
        <w:spacing w:after="158" w:line="259" w:lineRule="auto"/>
        <w:ind w:firstLine="0"/>
      </w:pPr>
      <w:r>
        <w:t xml:space="preserve">налог на прибыль (та часть, которая идет в региональный бюджет – 18%); </w:t>
      </w:r>
    </w:p>
    <w:p w:rsidR="00580059" w:rsidRDefault="00A67E9D">
      <w:pPr>
        <w:numPr>
          <w:ilvl w:val="0"/>
          <w:numId w:val="1"/>
        </w:numPr>
        <w:ind w:firstLine="0"/>
      </w:pPr>
      <w:r>
        <w:lastRenderedPageBreak/>
        <w:t xml:space="preserve">налог на имущество;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транспортный налог; </w:t>
      </w:r>
    </w:p>
    <w:p w:rsidR="00580059" w:rsidRDefault="00A67E9D">
      <w:pPr>
        <w:numPr>
          <w:ilvl w:val="0"/>
          <w:numId w:val="1"/>
        </w:numPr>
        <w:spacing w:after="82" w:line="259" w:lineRule="auto"/>
        <w:ind w:firstLine="0"/>
      </w:pPr>
      <w:r>
        <w:t xml:space="preserve">налог на землю. </w:t>
      </w:r>
    </w:p>
    <w:p w:rsidR="00580059" w:rsidRDefault="00A67E9D">
      <w:pPr>
        <w:ind w:left="-15"/>
      </w:pPr>
      <w:r>
        <w:t xml:space="preserve">Данный вопрос требует дополнительной законодательной работы на региональном уровне. При этом необходимо </w:t>
      </w:r>
      <w:r>
        <w:t xml:space="preserve">понимать, что налоговые льготы должны быть экономически эффективны, что выражается во вновь созданных высокопроизводительных рабочих местах, объеме инвестиций, налоговых поступлениях, росте производительности труда, внедрении новых технологий. </w:t>
      </w:r>
    </w:p>
    <w:p w:rsidR="00580059" w:rsidRDefault="00A67E9D">
      <w:pPr>
        <w:ind w:left="-15"/>
      </w:pPr>
      <w:r>
        <w:t>Перечисленн</w:t>
      </w:r>
      <w:r>
        <w:t xml:space="preserve">ые преимущества крупных индустриальных парков характерны и для промышленных площадок муниципального уровня. </w:t>
      </w:r>
    </w:p>
    <w:p w:rsidR="00580059" w:rsidRDefault="00A67E9D">
      <w:pPr>
        <w:spacing w:after="0" w:line="259" w:lineRule="auto"/>
        <w:ind w:left="0" w:right="112" w:firstLine="0"/>
        <w:jc w:val="right"/>
      </w:pPr>
      <w:r>
        <w:t xml:space="preserve">На сегодняшний день муниципальными образованиями республики заявлены: </w:t>
      </w:r>
    </w:p>
    <w:p w:rsidR="00580059" w:rsidRDefault="00A67E9D">
      <w:pPr>
        <w:numPr>
          <w:ilvl w:val="0"/>
          <w:numId w:val="2"/>
        </w:numPr>
      </w:pPr>
      <w:r>
        <w:t>действующие 22 промышленные площадки в 17 муниципальном районе и 1 городском</w:t>
      </w:r>
      <w:r>
        <w:t xml:space="preserve"> округе. На данных площадках действуют 110 резидентов, создано более 1500 рабочих мест. Совокупный объем выручки резидентов за 2013 год составил 2,4 млрд. руб. </w:t>
      </w:r>
    </w:p>
    <w:p w:rsidR="00580059" w:rsidRDefault="00A67E9D">
      <w:pPr>
        <w:numPr>
          <w:ilvl w:val="0"/>
          <w:numId w:val="2"/>
        </w:numPr>
      </w:pPr>
      <w:r>
        <w:t>на стадии создания более 20 промышленных площадок, находящихся в разной степени готовности в 18</w:t>
      </w:r>
      <w:r>
        <w:t xml:space="preserve"> муниципальных районах республики и 1 городском округе.  </w:t>
      </w:r>
    </w:p>
    <w:p w:rsidR="00580059" w:rsidRDefault="00A67E9D">
      <w:pPr>
        <w:ind w:left="-15"/>
      </w:pPr>
      <w:r>
        <w:t xml:space="preserve">Однако эти цифры основаны на информации, представленной районами, а понимание промышленной площадки, как показывает практика, сильно различается. </w:t>
      </w:r>
    </w:p>
    <w:p w:rsidR="00580059" w:rsidRDefault="00A67E9D">
      <w:pPr>
        <w:ind w:left="-15"/>
      </w:pPr>
      <w:r>
        <w:t>В текущем году проведено множество рабочих встреч с</w:t>
      </w:r>
      <w:r>
        <w:t xml:space="preserve"> руководителями районов и потенциальными управляющими компаниями. Мы провели ряд круглых столов по вопросам развития инфраструктуры. Однако до сих пор остаются актуальными вопросы: «С чего начать?», «Как управлять?», «Как выстраивать резидентную политику?»</w:t>
      </w:r>
      <w:r>
        <w:t xml:space="preserve">. </w:t>
      </w:r>
    </w:p>
    <w:p w:rsidR="00580059" w:rsidRDefault="00A67E9D">
      <w:pPr>
        <w:ind w:left="-15"/>
      </w:pPr>
      <w:r>
        <w:t xml:space="preserve">Эти вопросы и определили состав участников и выступающих нашего Экономсовета, проводимого в форме семинара-совещания. Отдельные слова благодарности хотелось бы выразить директору Департамента развития малого и среднего предпринимательства и конкуренции </w:t>
      </w:r>
      <w:r>
        <w:t>Минэкономразвития России Наталье Игоревне Ларионовой за системную поддержку проектов Республики Татарстан. Выражаем надежду, что программа инфраструктурной поддержки будет продолжена и в дальнейшем независимо от формы собственности промышленных парков. В п</w:t>
      </w:r>
      <w:r>
        <w:t xml:space="preserve">оложительных примерах ее реализации Вы сегодня имели возможность убедиться. </w:t>
      </w:r>
    </w:p>
    <w:p w:rsidR="00580059" w:rsidRDefault="00A67E9D">
      <w:pPr>
        <w:ind w:left="-15"/>
      </w:pPr>
      <w:r>
        <w:t>С целью систематизации работы по созданию и развитию промышленных площадок нами, совместно с Торгово-промышленной палатой Республики Татарстан был проведен аудит действующих и соз</w:t>
      </w:r>
      <w:r>
        <w:t xml:space="preserve">даваемых площадок в муниципалитетах Республики. По результатам аудита уже можно отметить ряд характерных моментов: </w:t>
      </w:r>
    </w:p>
    <w:p w:rsidR="00580059" w:rsidRDefault="00A67E9D">
      <w:pPr>
        <w:ind w:left="-15"/>
      </w:pPr>
      <w:r>
        <w:t>Проведенный анализ показывает, что основной причиной всех допускаемых ошибок является отсутствие понимания концепции создания и развития про</w:t>
      </w:r>
      <w:r>
        <w:t>мышленной площадки. Вопросы развития площадки возложены на лиц в, имеющих и без того широкий круг других обязанностей, в исполнительных комитетах муниципальных образований. Помимо них этими вопросами должны заниматься узкие специалисты с конкретными задача</w:t>
      </w:r>
      <w:r>
        <w:t xml:space="preserve">ми по развитию площадок. </w:t>
      </w:r>
    </w:p>
    <w:p w:rsidR="00580059" w:rsidRDefault="00A67E9D">
      <w:pPr>
        <w:ind w:left="-15"/>
      </w:pPr>
      <w:r>
        <w:t>Частая ошибка – ориентация исключительно на бюджетные средства. Получение господдержки не может быть самоцелью, она может только способствовать сокращению срока окупаемости проекта. Но сам по себе проект должен быть окупаемым, биз</w:t>
      </w:r>
      <w:r>
        <w:t xml:space="preserve">нес должен зарабатывать деньги. </w:t>
      </w:r>
    </w:p>
    <w:p w:rsidR="00580059" w:rsidRDefault="00A67E9D">
      <w:pPr>
        <w:ind w:left="-15"/>
      </w:pPr>
      <w:r>
        <w:t>И здесь необходимо отметить исключительную роль управляющей компании, главной задачей которой является создание благоприятной бизнес-среды и предоставление резидентам востребованных услуг по ведению и развитию их бизнеса. М</w:t>
      </w:r>
      <w:r>
        <w:t xml:space="preserve">ировая и российская практика показывает необходимость привлечения к управлению даже государственными промышленными парками частных управляющих компаний. Это должна быть команда управленцев, имеющих опыт ведения этого бизнеса. </w:t>
      </w:r>
    </w:p>
    <w:p w:rsidR="00580059" w:rsidRDefault="00A67E9D">
      <w:pPr>
        <w:ind w:left="-15"/>
      </w:pPr>
      <w:r>
        <w:t>Следует понимать, что для уск</w:t>
      </w:r>
      <w:r>
        <w:t>оренного развития необходимо привлекать все возможные средства. Рассматривая бюджетное финансирование, помимо программы по развитию промышленных парков Минэкономразвития России, есть еще и мероприятие по возмещению части затрат на уплату процентов по креди</w:t>
      </w:r>
      <w:r>
        <w:t xml:space="preserve">там на строительство инфраструктуры промышленных парков Минпромторга России. И от Республики Татарстан уже готовятся к участию в этой программе две заявки – по созданию парков на территории Технополиса «Химград» и ОЭЗ «Алабуга» </w:t>
      </w:r>
      <w:r>
        <w:rPr>
          <w:i/>
        </w:rPr>
        <w:t>(А Плюс Парк Алабуга)</w:t>
      </w:r>
      <w:r>
        <w:t>. Важно</w:t>
      </w:r>
      <w:r>
        <w:t xml:space="preserve"> не ограничиваться бюджетными средствами, привлекая и внебюджетные источники финансирования, в том числе кредитные ресурсы. К примеру, ОАО «Сбербанк» уже сейчас имеет отдельный финансовый продукт «Индустриальный парк», рассчитанный на финансирование создан</w:t>
      </w:r>
      <w:r>
        <w:t xml:space="preserve">ия инфраструктуры промпарков. Интересные решения по развитию промышленных площадок в республике </w:t>
      </w:r>
      <w:r>
        <w:rPr>
          <w:i/>
        </w:rPr>
        <w:t>(в частности, для Химграда)</w:t>
      </w:r>
      <w:r>
        <w:t xml:space="preserve"> предлагает Газпромбанк. </w:t>
      </w:r>
    </w:p>
    <w:p w:rsidR="00580059" w:rsidRDefault="00A67E9D">
      <w:pPr>
        <w:ind w:left="-15"/>
      </w:pPr>
      <w:r>
        <w:t>Еще одна частая ошибка инициаторов создания площадки – недостаточная проработка первичных документов (масте</w:t>
      </w:r>
      <w:r>
        <w:t xml:space="preserve">р-плана, концепции, бизнес-плана), которая приводит к целому ряду проблем в создании и дальнейшем функционировании объекта инфраструктуры. </w:t>
      </w:r>
    </w:p>
    <w:p w:rsidR="00580059" w:rsidRDefault="00A67E9D">
      <w:pPr>
        <w:ind w:left="-15"/>
      </w:pPr>
      <w:r>
        <w:t>При планировании промышленных площадок нужно учитывать, что для привлечения резидентов недостаточно лишь привлекател</w:t>
      </w:r>
      <w:r>
        <w:t xml:space="preserve">ьности земельных участков (т.н. greenfield). Необходима подготовка территории на уровне brownfield.  </w:t>
      </w:r>
    </w:p>
    <w:p w:rsidR="00580059" w:rsidRDefault="00A67E9D">
      <w:pPr>
        <w:ind w:left="-15"/>
      </w:pPr>
      <w:r>
        <w:t>И тут серьезную роль играет эффективность использования объектов государственной и муниципальной собственности и активная работа с частными собственниками</w:t>
      </w:r>
      <w:r>
        <w:t xml:space="preserve">.  </w:t>
      </w:r>
    </w:p>
    <w:p w:rsidR="00580059" w:rsidRDefault="00A67E9D">
      <w:pPr>
        <w:ind w:left="-15"/>
      </w:pPr>
      <w:r>
        <w:t>Выбор площадки должен основываться на конкурентных преимуществах земли, существующей сетевой, транспортной, социальной инфраструктуре и не сводиться лишь к желанию попасть в программу, по которой предусмотрено финансирование. Примером слабого планирова</w:t>
      </w:r>
      <w:r>
        <w:t xml:space="preserve">ния можно назвать ситуацию, при которой созданная инфраструктура промпарка простаивает из-за отсутствия наполнения резидентами и четко выстроенной политики по их привлечению. </w:t>
      </w:r>
    </w:p>
    <w:p w:rsidR="00580059" w:rsidRDefault="00A67E9D">
      <w:pPr>
        <w:ind w:left="-15"/>
      </w:pPr>
      <w:r>
        <w:t>Еще раз отмечу, неиспользуемые площади – это актив муниципалитета, который являе</w:t>
      </w:r>
      <w:r>
        <w:t xml:space="preserve">тся существенным резервом для его дальнейшего роста. </w:t>
      </w:r>
    </w:p>
    <w:p w:rsidR="00580059" w:rsidRDefault="00A67E9D">
      <w:pPr>
        <w:ind w:left="-15"/>
      </w:pPr>
      <w:r>
        <w:t xml:space="preserve">Создаваемые площадки должны быть привязаны к существующим объектам и ресурсам – человеческим, сырьевым, энергетическим, транспортным, для этого крайне важен анализ того, что есть в районе. </w:t>
      </w:r>
    </w:p>
    <w:p w:rsidR="00580059" w:rsidRDefault="00A67E9D">
      <w:pPr>
        <w:ind w:left="-15"/>
      </w:pPr>
      <w:r>
        <w:t xml:space="preserve">Например, </w:t>
      </w:r>
      <w:r>
        <w:t>при анализе места размещения «условной площадки» на интерактивной карте Республики Татарстан, отображающей уровень загрузки центров питания Сетевой компании, можно увидеть, что в ряде районов развитие производств столкнется с проблемой нехватки резервов мо</w:t>
      </w:r>
      <w:r>
        <w:t>щности Поэтому необходимо заранее проводить переговоры с сетевыми компаниями на предмет возможности включения в их инвестпрограммы затрат на подведение инфраструктуры соответствующего вида к границе участка площадки. Это большая совместная работа региональ</w:t>
      </w:r>
      <w:r>
        <w:t xml:space="preserve">ных властей, глав администраций районов, самих предпринимателей и естественных монополий по правильному планированию инвестиционных программ. </w:t>
      </w:r>
    </w:p>
    <w:p w:rsidR="00580059" w:rsidRDefault="00A67E9D">
      <w:pPr>
        <w:ind w:left="-15"/>
      </w:pPr>
      <w:r>
        <w:t>Что касается транспортной инфраструктуры, то при выборе места размещения будущей площадки необходимо учитывать су</w:t>
      </w:r>
      <w:r>
        <w:t xml:space="preserve">ществующую дорожную инфраструктуру. Это позволит избежать необходимости прокладки десятков километров дорог, и, соответственно, значительного увеличения себестоимости и времени реализации проекта. </w:t>
      </w:r>
    </w:p>
    <w:p w:rsidR="00580059" w:rsidRDefault="00A67E9D">
      <w:pPr>
        <w:ind w:left="-15"/>
      </w:pPr>
      <w:r>
        <w:t>Для анализа возможно использование геоинформационной карты</w:t>
      </w:r>
      <w:r>
        <w:t xml:space="preserve"> Республики Татарстан, созданной на базе «ЕГИС ГЛОНАСС +112». На карте отображены инвестиционные проекты с привязкой к кадастровым участкам Республики Татарстан, зеленые (green) и коричневые (brown) инвестиционные площадки, энергетическая, транспортная и п</w:t>
      </w:r>
      <w:r>
        <w:t xml:space="preserve">роизводственная инфраструктура, минеральносырьевые ресурсы, учреждения здравоохранения, объекты социального обслуживания. </w:t>
      </w:r>
    </w:p>
    <w:p w:rsidR="00580059" w:rsidRDefault="00A67E9D">
      <w:pPr>
        <w:ind w:left="-15"/>
      </w:pPr>
      <w:r>
        <w:t>Значительным усовершенствованием карты должна стать визуальная возможность для предпринимателей безошибочно определять точные резервы</w:t>
      </w:r>
      <w:r>
        <w:t xml:space="preserve"> по энергетическим мощностям и планы других предприятий по развитию инфраструктуры. Знание будущих соседей и их энергопотребностей (особенно, уже официально заявленных в сетевых организациях) поможет качественно определиться с местом размещения площадки. </w:t>
      </w:r>
    </w:p>
    <w:p w:rsidR="00580059" w:rsidRDefault="00A67E9D">
      <w:pPr>
        <w:ind w:left="-15"/>
      </w:pPr>
      <w:r>
        <w:t xml:space="preserve">Помимо инфраструктурного обеспечения важным вопросом для создания и развития промышленных площадок является формирование необходимой нормативной базы. </w:t>
      </w:r>
    </w:p>
    <w:p w:rsidR="00580059" w:rsidRDefault="00A67E9D">
      <w:pPr>
        <w:ind w:left="-15"/>
      </w:pPr>
      <w:r>
        <w:t>В рамках Постановления Кабинета Министров Республики Татарстан «Об аккредитации субъектов инфраструктуры</w:t>
      </w:r>
      <w:r>
        <w:t xml:space="preserve"> имущественной поддержки малого и среднего предпринимательства Республики Татарстан» идет прием заявок на аккредитацию самих площадок. Первые 7 промышленных площадок уже получили аккредитацию, подтвердив своё соответствие установленным стандартам. </w:t>
      </w:r>
    </w:p>
    <w:p w:rsidR="00580059" w:rsidRDefault="00A67E9D">
      <w:pPr>
        <w:ind w:left="-15"/>
      </w:pPr>
      <w:r>
        <w:t>Кроме т</w:t>
      </w:r>
      <w:r>
        <w:t xml:space="preserve">ого, согласно Постановлению Кабинета Министров о господдержке резидентов промплощадок, сформирован комплекс мероприятий, направленных на развитие инфраструктуры поддержки предпринимательства, который включает в себя следующие меры финансовой поддержки: </w:t>
      </w:r>
    </w:p>
    <w:p w:rsidR="00580059" w:rsidRDefault="00A67E9D">
      <w:pPr>
        <w:numPr>
          <w:ilvl w:val="0"/>
          <w:numId w:val="3"/>
        </w:numPr>
      </w:pPr>
      <w:r>
        <w:t>Су</w:t>
      </w:r>
      <w:r>
        <w:t xml:space="preserve">бсидирование части затрат резидентов, связанных с приобретением оборудования. </w:t>
      </w:r>
    </w:p>
    <w:p w:rsidR="00580059" w:rsidRDefault="00A67E9D">
      <w:pPr>
        <w:numPr>
          <w:ilvl w:val="0"/>
          <w:numId w:val="3"/>
        </w:numPr>
      </w:pPr>
      <w:r>
        <w:t xml:space="preserve">Субсидирование затрат резидентов на уплату процентов по кредитам, привлеченным в российских кредитных организациях; </w:t>
      </w:r>
    </w:p>
    <w:p w:rsidR="00580059" w:rsidRDefault="00A67E9D">
      <w:pPr>
        <w:numPr>
          <w:ilvl w:val="0"/>
          <w:numId w:val="3"/>
        </w:numPr>
      </w:pPr>
      <w:r>
        <w:t>По уже известной программе «ЛИЗИНГ-ГРАНТ» предоставляются бо</w:t>
      </w:r>
      <w:r>
        <w:t xml:space="preserve">лее льготные условия для резидентов промышленных площадок, субсидируя до 50% от суммы договора лизинга оборудования  </w:t>
      </w:r>
    </w:p>
    <w:p w:rsidR="00580059" w:rsidRDefault="00A67E9D">
      <w:pPr>
        <w:ind w:left="-15"/>
      </w:pPr>
      <w:r>
        <w:t>Помимо указанных мероприятий необходимо использовать и существующие программы Гарантийного фонда, консультационные и информационные возмож</w:t>
      </w:r>
      <w:r>
        <w:t xml:space="preserve">ности Центра поддержки предпринимательства. В следующем году мы планируем развивать новые формы поддержки на уровне муниципальных образований, в том числе формирование филиальной сети фонда финансовой поддержки и гарантийного фонда. </w:t>
      </w:r>
    </w:p>
    <w:p w:rsidR="00580059" w:rsidRDefault="00A67E9D">
      <w:pPr>
        <w:ind w:left="-15"/>
      </w:pPr>
      <w:r>
        <w:t>Кроме того, в целях по</w:t>
      </w:r>
      <w:r>
        <w:t>вышения эффективности взаимодействия с муниципальными образованиями в Республике Татарстан планируется апробировать опыт большинства регионов по софинансированию муниципальных программ развития малого и среднего предпринимательства. Данный механизм будет с</w:t>
      </w:r>
      <w:r>
        <w:t xml:space="preserve">пособствовать стимулированию социально-экономического развития муниципальных образований через развитие предпринимательского сектора. </w:t>
      </w:r>
    </w:p>
    <w:p w:rsidR="00580059" w:rsidRDefault="00A67E9D">
      <w:pPr>
        <w:ind w:left="-15"/>
      </w:pPr>
      <w:r>
        <w:t>Кроме того, прорабатывается вопрос возможности запуска нового механизма поддержки промышленных площадок муниципального ур</w:t>
      </w:r>
      <w:r>
        <w:t>овня – «инфраструктура каждой площадке». По нашему представлению, принципы данной программы должны быть идентичны подходам программы капитальных вложений. По своей сути должна быть сформирована отдельная программа капитальных вложений, ориентированная на с</w:t>
      </w:r>
      <w:r>
        <w:t xml:space="preserve">оздание инфраструктуры для наших промышленных площадок. </w:t>
      </w:r>
    </w:p>
    <w:p w:rsidR="00580059" w:rsidRDefault="00A67E9D">
      <w:pPr>
        <w:ind w:left="-15"/>
      </w:pPr>
      <w:r>
        <w:t>Подводя итоги, можно сказать, что активность муниципалитетов, понимание целей и задач создаваемых промышленных парков и площадок, соответствие базовым требованиям к создаваемой инфраструктуре – значи</w:t>
      </w:r>
      <w:r>
        <w:t xml:space="preserve">тельная часть успеха проекта. </w:t>
      </w:r>
    </w:p>
    <w:p w:rsidR="00580059" w:rsidRDefault="00A67E9D">
      <w:pPr>
        <w:ind w:left="-15"/>
      </w:pPr>
      <w:r>
        <w:t xml:space="preserve">Необходимые для дальнейшего развития мероприятия вы видите на слайде. Только совместная системная работа приведет к развитию инфраструктуры поддержки предпринимательства, и, в свою очередь, развитию Республики. </w:t>
      </w:r>
    </w:p>
    <w:p w:rsidR="00580059" w:rsidRDefault="00A67E9D">
      <w:pPr>
        <w:spacing w:line="259" w:lineRule="auto"/>
        <w:ind w:left="708" w:firstLine="0"/>
      </w:pPr>
      <w:r>
        <w:t>Спасибо за вн</w:t>
      </w:r>
      <w:r>
        <w:t xml:space="preserve">имание! </w:t>
      </w:r>
    </w:p>
    <w:sectPr w:rsidR="00580059">
      <w:footerReference w:type="even" r:id="rId7"/>
      <w:footerReference w:type="default" r:id="rId8"/>
      <w:footerReference w:type="first" r:id="rId9"/>
      <w:pgSz w:w="11906" w:h="16838"/>
      <w:pgMar w:top="1191" w:right="564" w:bottom="1236" w:left="1133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E9D">
      <w:pPr>
        <w:spacing w:after="0" w:line="240" w:lineRule="auto"/>
      </w:pPr>
      <w:r>
        <w:separator/>
      </w:r>
    </w:p>
  </w:endnote>
  <w:endnote w:type="continuationSeparator" w:id="0">
    <w:p w:rsidR="00000000" w:rsidRDefault="00A6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59" w:rsidRDefault="00A67E9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59" w:rsidRDefault="00A67E9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59" w:rsidRDefault="00A67E9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E9D">
      <w:pPr>
        <w:spacing w:after="0" w:line="240" w:lineRule="auto"/>
      </w:pPr>
      <w:r>
        <w:separator/>
      </w:r>
    </w:p>
  </w:footnote>
  <w:footnote w:type="continuationSeparator" w:id="0">
    <w:p w:rsidR="00000000" w:rsidRDefault="00A6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AFF"/>
    <w:multiLevelType w:val="hybridMultilevel"/>
    <w:tmpl w:val="B4DA842C"/>
    <w:lvl w:ilvl="0" w:tplc="EE4C60D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063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E3E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4CD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E7A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8B7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EAB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62EA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C62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74CEE"/>
    <w:multiLevelType w:val="hybridMultilevel"/>
    <w:tmpl w:val="16343D64"/>
    <w:lvl w:ilvl="0" w:tplc="84A060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050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647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277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16B0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49C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22C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6A0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E60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667E3"/>
    <w:multiLevelType w:val="hybridMultilevel"/>
    <w:tmpl w:val="71261DC6"/>
    <w:lvl w:ilvl="0" w:tplc="901023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85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A12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617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23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824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423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C6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B4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9"/>
    <w:rsid w:val="00580059"/>
    <w:rsid w:val="00A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0A18-CC60-42C6-8DA8-752B3F7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6" w:lineRule="auto"/>
      <w:ind w:left="14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Илья Владимирович</dc:creator>
  <cp:keywords/>
  <cp:lastModifiedBy>Ёлкина Светлана Анатольевна</cp:lastModifiedBy>
  <cp:revision>2</cp:revision>
  <dcterms:created xsi:type="dcterms:W3CDTF">2018-08-11T10:48:00Z</dcterms:created>
  <dcterms:modified xsi:type="dcterms:W3CDTF">2018-08-11T10:48:00Z</dcterms:modified>
</cp:coreProperties>
</file>