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9B" w:rsidRDefault="00511E8B">
      <w:pPr>
        <w:spacing w:after="83" w:line="259" w:lineRule="auto"/>
        <w:ind w:left="963" w:hanging="10"/>
        <w:jc w:val="left"/>
      </w:pPr>
      <w:bookmarkStart w:id="0" w:name="_GoBack"/>
      <w:bookmarkEnd w:id="0"/>
      <w:r>
        <w:rPr>
          <w:b/>
        </w:rPr>
        <w:t xml:space="preserve">Тезисы выступления Министра экономики Республики </w:t>
      </w:r>
    </w:p>
    <w:p w:rsidR="00B15F9B" w:rsidRDefault="00511E8B">
      <w:pPr>
        <w:spacing w:after="26" w:line="259" w:lineRule="auto"/>
        <w:ind w:left="717" w:right="719" w:hanging="10"/>
        <w:jc w:val="center"/>
      </w:pPr>
      <w:r>
        <w:rPr>
          <w:b/>
        </w:rPr>
        <w:t xml:space="preserve">Татарстан М.Р.Шагиахметова на Пленарном заседании </w:t>
      </w:r>
    </w:p>
    <w:p w:rsidR="00B15F9B" w:rsidRDefault="00511E8B">
      <w:pPr>
        <w:spacing w:after="83" w:line="259" w:lineRule="auto"/>
        <w:ind w:left="1500" w:right="1045" w:firstLine="137"/>
        <w:jc w:val="left"/>
      </w:pPr>
      <w:r>
        <w:rPr>
          <w:b/>
        </w:rPr>
        <w:t xml:space="preserve">XII Общероссийского форума «Стратегическое планирование в регионах и городах России» на тему </w:t>
      </w:r>
    </w:p>
    <w:p w:rsidR="00B15F9B" w:rsidRDefault="00511E8B">
      <w:pPr>
        <w:spacing w:after="83" w:line="259" w:lineRule="auto"/>
        <w:ind w:left="1388" w:hanging="10"/>
        <w:jc w:val="left"/>
      </w:pPr>
      <w:r>
        <w:rPr>
          <w:b/>
        </w:rPr>
        <w:t xml:space="preserve">«Стратегическое развитие Республики Татарстан: </w:t>
      </w:r>
    </w:p>
    <w:p w:rsidR="00B15F9B" w:rsidRDefault="00511E8B">
      <w:pPr>
        <w:spacing w:after="26" w:line="259" w:lineRule="auto"/>
        <w:ind w:left="2300" w:hanging="10"/>
        <w:jc w:val="left"/>
      </w:pPr>
      <w:r>
        <w:rPr>
          <w:b/>
        </w:rPr>
        <w:t xml:space="preserve">точки роста и приоритетные проекты» </w:t>
      </w:r>
    </w:p>
    <w:p w:rsidR="00B15F9B" w:rsidRDefault="00511E8B">
      <w:pPr>
        <w:spacing w:after="212" w:line="259" w:lineRule="auto"/>
        <w:ind w:left="708" w:firstLine="0"/>
        <w:jc w:val="left"/>
      </w:pPr>
      <w:r>
        <w:t xml:space="preserve"> </w:t>
      </w:r>
    </w:p>
    <w:p w:rsidR="00B15F9B" w:rsidRDefault="00511E8B">
      <w:pPr>
        <w:tabs>
          <w:tab w:val="right" w:pos="10208"/>
        </w:tabs>
        <w:spacing w:after="90" w:line="259" w:lineRule="auto"/>
        <w:ind w:left="-15" w:firstLine="0"/>
        <w:jc w:val="left"/>
      </w:pPr>
      <w:r>
        <w:t xml:space="preserve">22 октября 2013 года </w:t>
      </w:r>
      <w:r>
        <w:tab/>
        <w:t xml:space="preserve">г.Санкт-Петербург </w:t>
      </w:r>
    </w:p>
    <w:p w:rsidR="00B15F9B" w:rsidRDefault="00511E8B">
      <w:pPr>
        <w:tabs>
          <w:tab w:val="right" w:pos="10208"/>
        </w:tabs>
        <w:spacing w:after="91" w:line="259" w:lineRule="auto"/>
        <w:ind w:left="-15" w:firstLine="0"/>
        <w:jc w:val="left"/>
      </w:pPr>
      <w:r>
        <w:t xml:space="preserve">09.30 часов </w:t>
      </w:r>
      <w:r>
        <w:tab/>
        <w:t xml:space="preserve">гостиница «Park Inn – Прибалтийская» </w:t>
      </w:r>
    </w:p>
    <w:p w:rsidR="00B15F9B" w:rsidRDefault="00511E8B">
      <w:pPr>
        <w:spacing w:after="185" w:line="276" w:lineRule="auto"/>
        <w:ind w:left="708" w:firstLine="6923"/>
      </w:pPr>
      <w:r>
        <w:t xml:space="preserve">Зал «Синий 4+5»  </w:t>
      </w:r>
    </w:p>
    <w:p w:rsidR="00B15F9B" w:rsidRDefault="00511E8B">
      <w:pPr>
        <w:spacing w:after="211" w:line="259" w:lineRule="auto"/>
        <w:ind w:left="717" w:hanging="10"/>
        <w:jc w:val="center"/>
      </w:pPr>
      <w:r>
        <w:rPr>
          <w:b/>
        </w:rPr>
        <w:t xml:space="preserve">Уважаемый Сергей Макарович! </w:t>
      </w:r>
    </w:p>
    <w:p w:rsidR="00B15F9B" w:rsidRDefault="00511E8B">
      <w:pPr>
        <w:spacing w:after="209" w:line="259" w:lineRule="auto"/>
        <w:ind w:left="2746" w:hanging="10"/>
        <w:jc w:val="left"/>
      </w:pPr>
      <w:r>
        <w:rPr>
          <w:b/>
        </w:rPr>
        <w:t xml:space="preserve">Уважаемый Алексей Леонидович! </w:t>
      </w:r>
    </w:p>
    <w:p w:rsidR="00B15F9B" w:rsidRDefault="00511E8B">
      <w:pPr>
        <w:spacing w:after="156" w:line="259" w:lineRule="auto"/>
        <w:ind w:left="717" w:hanging="10"/>
        <w:jc w:val="center"/>
      </w:pPr>
      <w:r>
        <w:rPr>
          <w:b/>
        </w:rPr>
        <w:t>Уважаемые коллеги</w:t>
      </w:r>
      <w:r>
        <w:t xml:space="preserve">! </w:t>
      </w:r>
    </w:p>
    <w:p w:rsidR="00B15F9B" w:rsidRDefault="00511E8B">
      <w:pPr>
        <w:spacing w:after="156" w:line="259" w:lineRule="auto"/>
        <w:ind w:left="708" w:firstLine="0"/>
        <w:jc w:val="left"/>
      </w:pPr>
      <w:r>
        <w:rPr>
          <w:b/>
          <w:color w:val="FF0000"/>
        </w:rPr>
        <w:t xml:space="preserve"> </w:t>
      </w:r>
    </w:p>
    <w:p w:rsidR="00B15F9B" w:rsidRDefault="00511E8B">
      <w:pPr>
        <w:ind w:left="-15"/>
      </w:pPr>
      <w:r>
        <w:t xml:space="preserve">Благодарю за предоставленную возможность выступить на сегодняшнем пленарном заседании. </w:t>
      </w:r>
    </w:p>
    <w:p w:rsidR="00B15F9B" w:rsidRDefault="00511E8B">
      <w:pPr>
        <w:ind w:left="-15"/>
      </w:pPr>
      <w:r>
        <w:t xml:space="preserve">Сначала позвольте сказать несколько слов о Республике Татарстан. </w:t>
      </w:r>
    </w:p>
    <w:p w:rsidR="00B15F9B" w:rsidRDefault="00511E8B">
      <w:pPr>
        <w:ind w:left="-15"/>
      </w:pPr>
      <w:r>
        <w:t>Татарстан вносит значительный вклад в российскую экономику. В республике добывается более 6% российско</w:t>
      </w:r>
      <w:r>
        <w:t xml:space="preserve">й нефти. Почти половина общероссийского производства полиэтилена и синтетических каучуков сосредоточена в Татарстане. У нас выпускается каждый третий российский грузовик и каждая третья шина. </w:t>
      </w:r>
    </w:p>
    <w:p w:rsidR="00B15F9B" w:rsidRDefault="00511E8B">
      <w:pPr>
        <w:ind w:left="-15"/>
      </w:pPr>
      <w:r>
        <w:lastRenderedPageBreak/>
        <w:t>На протяжении последних лет Татарстан стабильно входит в первую</w:t>
      </w:r>
      <w:r>
        <w:t xml:space="preserve"> десятку регионов с наивысшим инвестиционным потенциалом. </w:t>
      </w:r>
    </w:p>
    <w:p w:rsidR="00B15F9B" w:rsidRDefault="00511E8B">
      <w:pPr>
        <w:ind w:left="-15"/>
      </w:pPr>
      <w:r>
        <w:t xml:space="preserve">Вместе с тем, в текущем году в республике, как и в стране в целом, наблюдается замедление темпов роста. </w:t>
      </w:r>
    </w:p>
    <w:p w:rsidR="00B15F9B" w:rsidRDefault="00511E8B">
      <w:pPr>
        <w:ind w:left="-15"/>
      </w:pPr>
      <w:r>
        <w:t>В таких условиях важнейшим фактором преодоления негативных тенденций и обеспечения конкурент</w:t>
      </w:r>
      <w:r>
        <w:t xml:space="preserve">оспособности становится продолжение выбранного курса по формированию инновационной экономики. </w:t>
      </w:r>
    </w:p>
    <w:p w:rsidR="00B15F9B" w:rsidRDefault="00511E8B">
      <w:pPr>
        <w:ind w:left="-15"/>
      </w:pPr>
      <w:r>
        <w:t xml:space="preserve">Руководством республики определен ряд приоритетных направлений развития: </w:t>
      </w:r>
    </w:p>
    <w:p w:rsidR="00B15F9B" w:rsidRDefault="00511E8B">
      <w:pPr>
        <w:numPr>
          <w:ilvl w:val="0"/>
          <w:numId w:val="1"/>
        </w:numPr>
        <w:spacing w:after="172" w:line="259" w:lineRule="auto"/>
        <w:ind w:firstLine="0"/>
      </w:pPr>
      <w:r>
        <w:t xml:space="preserve">модернизация предприятий в базовых отраслях экономики; </w:t>
      </w:r>
    </w:p>
    <w:p w:rsidR="00B15F9B" w:rsidRDefault="00511E8B">
      <w:pPr>
        <w:numPr>
          <w:ilvl w:val="0"/>
          <w:numId w:val="1"/>
        </w:numPr>
        <w:spacing w:after="172" w:line="259" w:lineRule="auto"/>
        <w:ind w:firstLine="0"/>
      </w:pPr>
      <w:r>
        <w:t>опережающее развитие новых инно</w:t>
      </w:r>
      <w:r>
        <w:t xml:space="preserve">вационных секторов; </w:t>
      </w:r>
    </w:p>
    <w:p w:rsidR="00B15F9B" w:rsidRDefault="00511E8B">
      <w:pPr>
        <w:numPr>
          <w:ilvl w:val="0"/>
          <w:numId w:val="1"/>
        </w:numPr>
        <w:ind w:firstLine="0"/>
      </w:pPr>
      <w:r>
        <w:t xml:space="preserve">формирование благоприятного делового климата; </w:t>
      </w:r>
      <w:r>
        <w:rPr>
          <w:rFonts w:ascii="Segoe UI Symbol" w:eastAsia="Segoe UI Symbol" w:hAnsi="Segoe UI Symbol" w:cs="Segoe UI Symbol"/>
        </w:rPr>
        <w:t></w:t>
      </w:r>
      <w:r>
        <w:t xml:space="preserve"> совершенствование государственных институтов. </w:t>
      </w:r>
    </w:p>
    <w:p w:rsidR="00B15F9B" w:rsidRDefault="00511E8B">
      <w:pPr>
        <w:ind w:left="-15"/>
      </w:pPr>
      <w:r>
        <w:t>В рамках развития базовых отраслей экономики ключевой задачей является повышение производительности труда, которая сегодня в республике, как</w:t>
      </w:r>
      <w:r>
        <w:t xml:space="preserve"> и в стране в целом, значительно отстает от ведущих стран мира. Для решения этой проблемы разработана Программа повышения производительности труда в нефтехимии и машиностроении. В дальнейшем опыт ее реализации будет распространен и на остальные сектора эко</w:t>
      </w:r>
      <w:r>
        <w:t xml:space="preserve">номики. </w:t>
      </w:r>
    </w:p>
    <w:p w:rsidR="00B15F9B" w:rsidRDefault="00511E8B">
      <w:pPr>
        <w:ind w:left="-15"/>
      </w:pPr>
      <w:r>
        <w:lastRenderedPageBreak/>
        <w:t>Развитие инновационных и наукоемких секторов экономики невозможно без создания условий для коммерциализации инноваций. С целью повышения конкурентоспособности наших товаропроизводителей на отечественном и зарубежных рынках за счет эффективного упр</w:t>
      </w:r>
      <w:r>
        <w:t xml:space="preserve">авления интеллектуальной собственностью в Республике Татарстан совместно с Роспатентом и Всемирным Банком принята Программа развития рынка интеллектуальной собственности до 2020 года. </w:t>
      </w:r>
    </w:p>
    <w:p w:rsidR="00B15F9B" w:rsidRDefault="00511E8B">
      <w:pPr>
        <w:ind w:left="-15"/>
      </w:pPr>
      <w:r>
        <w:t>Работа по формированию благоприятного делового климата и повышению инве</w:t>
      </w:r>
      <w:r>
        <w:t>стиционной привлекательности ведется в тесном сотрудничестве как с федеральными институтами, так и с предпринимательским сообществом. На сегодня в республике внедрены все пункты Стандарта по обеспечению благоприятного инвестиционного климата, разработанног</w:t>
      </w:r>
      <w:r>
        <w:t xml:space="preserve">о Агентством стратегических инициатив. На следующем этапе планируется реализация аналогичного стандарта в каждом муниципальном образовании. </w:t>
      </w:r>
    </w:p>
    <w:p w:rsidR="00B15F9B" w:rsidRDefault="00511E8B">
      <w:pPr>
        <w:ind w:left="-15"/>
      </w:pPr>
      <w:r>
        <w:t xml:space="preserve">В рамках совершенствования системы государственного управления </w:t>
      </w:r>
      <w:r>
        <w:t xml:space="preserve">продолжается работа по повышению качества и доступности государственных и муниципальных услуг, в том числе в электронном виде. В настоящее время основные услуги информационного характера переведены в электронный вид. </w:t>
      </w:r>
    </w:p>
    <w:p w:rsidR="00B15F9B" w:rsidRDefault="00511E8B">
      <w:pPr>
        <w:ind w:left="-15"/>
      </w:pPr>
      <w:r>
        <w:t>Реализуется проект по созданию системы</w:t>
      </w:r>
      <w:r>
        <w:t xml:space="preserve"> «Открытый Татарстан», которая позволит жителям выносить на всеобщее </w:t>
      </w:r>
      <w:r>
        <w:lastRenderedPageBreak/>
        <w:t xml:space="preserve">обсуждение любые законодательные инициативы и получать доступ к ключевым показателям деятельности всех министерств и ведомств республики. </w:t>
      </w:r>
    </w:p>
    <w:p w:rsidR="00B15F9B" w:rsidRDefault="00511E8B">
      <w:pPr>
        <w:spacing w:after="211" w:line="259" w:lineRule="auto"/>
        <w:ind w:left="708" w:firstLine="0"/>
        <w:jc w:val="left"/>
      </w:pPr>
      <w:r>
        <w:t xml:space="preserve"> </w:t>
      </w:r>
    </w:p>
    <w:p w:rsidR="00B15F9B" w:rsidRDefault="00511E8B">
      <w:pPr>
        <w:spacing w:after="156" w:line="259" w:lineRule="auto"/>
        <w:ind w:left="708" w:firstLine="0"/>
      </w:pPr>
      <w:r>
        <w:t xml:space="preserve">Уважаемые коллеги! </w:t>
      </w:r>
    </w:p>
    <w:p w:rsidR="00B15F9B" w:rsidRDefault="00511E8B">
      <w:pPr>
        <w:ind w:left="-15"/>
      </w:pPr>
      <w:r>
        <w:t>Реализация перечисленных н</w:t>
      </w:r>
      <w:r>
        <w:t xml:space="preserve">аправлений развития республики осуществляется в тесной координации и взаимоувязке общих целей с  приоритетами развития отдельных территорий. </w:t>
      </w:r>
    </w:p>
    <w:p w:rsidR="00B15F9B" w:rsidRDefault="00511E8B">
      <w:pPr>
        <w:ind w:left="-15"/>
      </w:pPr>
      <w:r>
        <w:t>Созданная в Татарстане система стратегического управления предполагает согласование проектов и программ развития р</w:t>
      </w:r>
      <w:r>
        <w:t xml:space="preserve">еспублики в целом, отдельных муниципальных образований и агломераций. В частности, программы социально-экономического развития городов и районов увязаны с общереспубликанскими документами стратегического планирования. </w:t>
      </w:r>
    </w:p>
    <w:p w:rsidR="00B15F9B" w:rsidRDefault="00511E8B">
      <w:pPr>
        <w:ind w:left="-15"/>
      </w:pPr>
      <w:r>
        <w:t>Развитие республики строится на основ</w:t>
      </w:r>
      <w:r>
        <w:t>е кластерного подхода, который определен в качестве приоритетного в принятой 2008 году «Программе развития и размещения производительных сил Республики Татарстан до 2030 года». В этой программе также были определены основные направления пространственного р</w:t>
      </w:r>
      <w:r>
        <w:t xml:space="preserve">азвития и перспективные точки роста: Казанская и Набережночелнинская агломерации. </w:t>
      </w:r>
    </w:p>
    <w:p w:rsidR="00B15F9B" w:rsidRDefault="00511E8B">
      <w:pPr>
        <w:ind w:left="-15"/>
      </w:pPr>
      <w:r>
        <w:t xml:space="preserve">В Казанскую агломерацию входят городской округ Казань и шесть муниципальных районов. </w:t>
      </w:r>
    </w:p>
    <w:p w:rsidR="00B15F9B" w:rsidRDefault="00511E8B">
      <w:pPr>
        <w:ind w:left="-15"/>
      </w:pPr>
      <w:r>
        <w:lastRenderedPageBreak/>
        <w:t>Агломерация обладает современной инфраструктурой, значительный вклад в развитие которой</w:t>
      </w:r>
      <w:r>
        <w:t xml:space="preserve"> внесло проведение в Казани XXVII Всемирной летней универсиады. </w:t>
      </w:r>
    </w:p>
    <w:p w:rsidR="00B15F9B" w:rsidRDefault="00511E8B">
      <w:pPr>
        <w:ind w:left="-15"/>
      </w:pPr>
      <w:r>
        <w:t xml:space="preserve">Во время подготовки к Универсиаде построено, реконструировано, отремонтировано множество объектов спортивной и дорожно-транспортной инфраструктуры. </w:t>
      </w:r>
    </w:p>
    <w:p w:rsidR="00B15F9B" w:rsidRDefault="00511E8B">
      <w:pPr>
        <w:ind w:left="-15"/>
      </w:pPr>
      <w:r>
        <w:t>Введен в эксплуатацию новый пассажирский Т</w:t>
      </w:r>
      <w:r>
        <w:t xml:space="preserve">ерминал международного аэропорта «Казань» пропускной способностью 1,2 млн. пассажиров в год. Открыта линия аэроэкспресса от аэропорта до центра Казани. </w:t>
      </w:r>
    </w:p>
    <w:p w:rsidR="00B15F9B" w:rsidRDefault="00511E8B">
      <w:pPr>
        <w:ind w:left="-15"/>
      </w:pPr>
      <w:r>
        <w:t>Одним из приоритетных направлений развития Казанской агломерации является развитие инновационного секто</w:t>
      </w:r>
      <w:r>
        <w:t xml:space="preserve">ра, прежде всего – ИТ-технологий. </w:t>
      </w:r>
    </w:p>
    <w:p w:rsidR="00B15F9B" w:rsidRDefault="00511E8B">
      <w:pPr>
        <w:ind w:left="-15"/>
      </w:pPr>
      <w:r>
        <w:t xml:space="preserve">В Казани успешно функционирует ИТ-парк, где размещено более 60 резидентов. </w:t>
      </w:r>
    </w:p>
    <w:p w:rsidR="00B15F9B" w:rsidRDefault="00511E8B">
      <w:pPr>
        <w:ind w:left="-15"/>
      </w:pPr>
      <w:r>
        <w:t>Совместно с сингапурскими коллегами реализуется масштабный проект по строительству города-спутника Казани «Иннополис», на территории которого рас</w:t>
      </w:r>
      <w:r>
        <w:t xml:space="preserve">положена вторая в республике особая экономическая зона. Здесь будут жить и работать 60 тыс. высококлассных ИТ-специалистов. </w:t>
      </w:r>
    </w:p>
    <w:p w:rsidR="00B15F9B" w:rsidRDefault="00511E8B">
      <w:pPr>
        <w:ind w:left="-15"/>
      </w:pPr>
      <w:r>
        <w:t>Для привлечения талантливой молодежи в Иннополисе будет работать ИТ-Университет, создаваемый в партнерстве с ведущим американским У</w:t>
      </w:r>
      <w:r>
        <w:t xml:space="preserve">ниверситетом Карнеги-Меллон. </w:t>
      </w:r>
    </w:p>
    <w:p w:rsidR="00B15F9B" w:rsidRDefault="00511E8B">
      <w:pPr>
        <w:ind w:left="-15"/>
      </w:pPr>
      <w:r>
        <w:lastRenderedPageBreak/>
        <w:t xml:space="preserve">Иннополис должен стать центром притяжения высококвалифицированных специалистов не только из близлежащих городов и районов республики, но и со всей страны. </w:t>
      </w:r>
    </w:p>
    <w:p w:rsidR="00B15F9B" w:rsidRDefault="00511E8B">
      <w:pPr>
        <w:ind w:left="-15"/>
      </w:pPr>
      <w:r>
        <w:t xml:space="preserve">Визитной карточкой Татарстана должен стать </w:t>
      </w:r>
      <w:r>
        <w:t xml:space="preserve">совместный с малазийскими партнёрами проект «Смарт Сити Казань». Это новая бизнес-площадка, где будет создана инфраструктура международного уровня для привлечения крупных российских и иностранных компаний. </w:t>
      </w:r>
    </w:p>
    <w:p w:rsidR="00B15F9B" w:rsidRDefault="00511E8B">
      <w:pPr>
        <w:ind w:left="-15"/>
      </w:pPr>
      <w:r>
        <w:t>Эти крупнейшие проекты реализуются в рамках конце</w:t>
      </w:r>
      <w:r>
        <w:t xml:space="preserve">пции «Большая Казань», суть которой заключается в применении новых подходов к управлению и размещению производительных сил. </w:t>
      </w:r>
    </w:p>
    <w:p w:rsidR="00B15F9B" w:rsidRDefault="00511E8B">
      <w:pPr>
        <w:ind w:left="-15"/>
      </w:pPr>
      <w:r>
        <w:t xml:space="preserve">Еще одна важнейшая точка роста республики находится в Набережночелнинской агломерации. </w:t>
      </w:r>
    </w:p>
    <w:p w:rsidR="00B15F9B" w:rsidRDefault="00511E8B">
      <w:pPr>
        <w:ind w:left="-15"/>
      </w:pPr>
      <w:r>
        <w:t>На территории агломерации реализуется ряд к</w:t>
      </w:r>
      <w:r>
        <w:t xml:space="preserve">рупнейших проектов, ориентированных на использование инновационных технологий и освоение все более высоких переделов производства. </w:t>
      </w:r>
    </w:p>
    <w:p w:rsidR="00B15F9B" w:rsidRDefault="00511E8B">
      <w:pPr>
        <w:ind w:left="-15"/>
      </w:pPr>
      <w:r>
        <w:t>Компания «Татнефть» реализует уникальный проект строительства Комплекса нефтеперерабатывающих заводов в Нижнекамске. С выход</w:t>
      </w:r>
      <w:r>
        <w:t xml:space="preserve">ом первой очереди на проектную мощность объем переработки нефти на «ТАНЕКО» достиг 7 млн. тонн. В планах компании – строительство второй очереди Комплекса с доведением объемов переработки до 14 млн. тонн. </w:t>
      </w:r>
    </w:p>
    <w:p w:rsidR="00B15F9B" w:rsidRDefault="00511E8B">
      <w:pPr>
        <w:ind w:left="-15"/>
      </w:pPr>
      <w:r>
        <w:t>На заводе «ТАИФ-НК» начаты работы по проекту строи</w:t>
      </w:r>
      <w:r>
        <w:t xml:space="preserve">тельства Комплекса глубокой переработки тяжелых остатков, который позволит довести глубину переработки сырья до уровня не менее 95%. </w:t>
      </w:r>
    </w:p>
    <w:p w:rsidR="00B15F9B" w:rsidRDefault="00511E8B">
      <w:pPr>
        <w:ind w:left="-15"/>
      </w:pPr>
      <w:r>
        <w:t xml:space="preserve">ОАО «Нижнекамскнефтехим» реализует крупномасштабный проект по строительству олефинового комплекса мощностью 1 млн. тонн в </w:t>
      </w:r>
      <w:r>
        <w:t xml:space="preserve">год по этилену. Реализация проекта будет способствовать организации современных производств пластмасс, каучуков и изделий на их основе. </w:t>
      </w:r>
    </w:p>
    <w:p w:rsidR="00B15F9B" w:rsidRDefault="00511E8B">
      <w:pPr>
        <w:ind w:left="-15"/>
      </w:pPr>
      <w:r>
        <w:t>ОАО «КАМАЗ» в сотрудничестве с Daimler начал реализацию новой модели магистральных тягачей, конкурентоспособных на миро</w:t>
      </w:r>
      <w:r>
        <w:t xml:space="preserve">вом уровне и соответствующих актуальным нормативным требованиям. </w:t>
      </w:r>
    </w:p>
    <w:p w:rsidR="00B15F9B" w:rsidRDefault="00511E8B">
      <w:pPr>
        <w:ind w:left="-15"/>
      </w:pPr>
      <w:r>
        <w:t xml:space="preserve">Совместным предприятием «Форд Соллерс» в Елабуге ведется строительство завода двигателей, что будет способствовать увеличению уровня локализации производства. </w:t>
      </w:r>
    </w:p>
    <w:p w:rsidR="00B15F9B" w:rsidRDefault="00511E8B">
      <w:pPr>
        <w:ind w:left="-15"/>
      </w:pPr>
      <w:r>
        <w:t>Все эти проекты увязаны между собой в рамках Программы развития Камского инновационного территориально-</w:t>
      </w:r>
    </w:p>
    <w:p w:rsidR="00B15F9B" w:rsidRDefault="00511E8B">
      <w:pPr>
        <w:ind w:left="-15" w:firstLine="0"/>
      </w:pPr>
      <w:r>
        <w:t>производственного кластера на период до 2020 года. Планируется, что к 2020 г. объем промышленного производства в Камском кластере утроится и достигнет 2</w:t>
      </w:r>
      <w:r>
        <w:t xml:space="preserve"> трлн. руб. </w:t>
      </w:r>
    </w:p>
    <w:p w:rsidR="00B15F9B" w:rsidRDefault="00511E8B">
      <w:pPr>
        <w:ind w:left="-15"/>
      </w:pPr>
      <w:r>
        <w:t xml:space="preserve">Развитие крупных предприятий создает предпосылки для формирования вокруг них пояса «производственного» малого и среднего бизнеса. </w:t>
      </w:r>
    </w:p>
    <w:p w:rsidR="00B15F9B" w:rsidRDefault="00511E8B">
      <w:pPr>
        <w:ind w:left="-15"/>
      </w:pPr>
      <w:r>
        <w:t>Важнейшим направлением государственной политики здесь является развитие инфраструктуры поддержки малого и средне</w:t>
      </w:r>
      <w:r>
        <w:t>го предпринимательства. На территории Камского кластера расположена одна из наиболее успешно функционирующих технопарковых структур в республике – КИП «Мастер». Изначально технопарк создавался для обеспечения потребностей головного предприятия – ОАО «КАМАЗ</w:t>
      </w:r>
      <w:r>
        <w:t xml:space="preserve">», но сегодня его резиденты уже работают «на рынок».  </w:t>
      </w:r>
    </w:p>
    <w:p w:rsidR="00B15F9B" w:rsidRDefault="00511E8B">
      <w:pPr>
        <w:ind w:left="-15"/>
      </w:pPr>
      <w:r>
        <w:t>Опыт развития КИП «Мастер» и других успешных технопарков мы планируем распространить на всю республику в рамках концепции создания промышленных парков в муниципальных образованиях. В настоящий момент в</w:t>
      </w:r>
      <w:r>
        <w:t xml:space="preserve"> республике функционируют 24 промышленные площадки муниципального уровня, на которых осуществляют деятельность 144 резидента. Всего планируется 53 таких площадки, где смогут разместиться более 700 резидентов. </w:t>
      </w:r>
    </w:p>
    <w:p w:rsidR="00B15F9B" w:rsidRDefault="00511E8B">
      <w:pPr>
        <w:ind w:left="-15"/>
      </w:pPr>
      <w:r>
        <w:t>Это позволит увеличить в общем обороте малых и</w:t>
      </w:r>
      <w:r>
        <w:t xml:space="preserve"> средних предприятий долю «производственного бизнеса», которая сегодня не превышает 16%, тогда как в развитых странах этот показатель достигает 20-25%. Вместе с тем, именно от уровня развития малого и среднего предпринимательства в реальном секторе во мног</w:t>
      </w:r>
      <w:r>
        <w:t xml:space="preserve">ом зависит устойчивость экономического роста в среднесрочной перспективе. </w:t>
      </w:r>
    </w:p>
    <w:p w:rsidR="00B15F9B" w:rsidRDefault="00511E8B">
      <w:pPr>
        <w:ind w:left="-15"/>
      </w:pPr>
      <w:r>
        <w:t>Еще одним важнейшим направлением развития Набережночелнинской агломерации является создание инновационных производств на базе особой экономической зоны «Алабуга». Созданные на ОЭЗ у</w:t>
      </w:r>
      <w:r>
        <w:t>словия оказывают значительное влияние на инвестиционную привлекательность республики в целом, в том числе – для иностранных инвесторов. Из 211 млн. долл. прямых иностранных инвестиций, поступивших в республику в 1 полугодии текущего года, более 90% приходи</w:t>
      </w:r>
      <w:r>
        <w:t xml:space="preserve">тся особую экономическую зону «Алабуга». </w:t>
      </w:r>
    </w:p>
    <w:p w:rsidR="00B15F9B" w:rsidRDefault="00511E8B">
      <w:pPr>
        <w:ind w:left="-15"/>
      </w:pPr>
      <w:r>
        <w:t>На ее территории уже зарегистрированы 39 компанийрезидентов с объемом заявленных инвестиций более 100 млрд. рублей. Резидентами ОЭЗ производится более 70% всей продукции, созданной во всех особых экономических зона</w:t>
      </w:r>
      <w:r>
        <w:t xml:space="preserve">х промышленно-производственного типа в стране. </w:t>
      </w:r>
    </w:p>
    <w:p w:rsidR="00B15F9B" w:rsidRDefault="00511E8B">
      <w:pPr>
        <w:ind w:left="-15"/>
      </w:pPr>
      <w:r>
        <w:t xml:space="preserve">К 2015 году планируется привлечь 60 компаний-резидентов с объемом инвестиций 180 млрд. рублей и создать более 8 тыс. </w:t>
      </w:r>
    </w:p>
    <w:p w:rsidR="00B15F9B" w:rsidRDefault="00511E8B">
      <w:pPr>
        <w:spacing w:after="156" w:line="259" w:lineRule="auto"/>
        <w:ind w:left="-15" w:firstLine="0"/>
      </w:pPr>
      <w:r>
        <w:t xml:space="preserve">рабочих мест. </w:t>
      </w:r>
    </w:p>
    <w:p w:rsidR="00B15F9B" w:rsidRDefault="00511E8B">
      <w:pPr>
        <w:spacing w:after="211" w:line="259" w:lineRule="auto"/>
        <w:ind w:left="708" w:firstLine="0"/>
        <w:jc w:val="left"/>
      </w:pPr>
      <w:r>
        <w:t xml:space="preserve"> </w:t>
      </w:r>
    </w:p>
    <w:p w:rsidR="00B15F9B" w:rsidRDefault="00511E8B">
      <w:pPr>
        <w:spacing w:after="210" w:line="259" w:lineRule="auto"/>
        <w:ind w:left="708" w:firstLine="0"/>
      </w:pPr>
      <w:r>
        <w:t xml:space="preserve">Уважаемые коллеги! </w:t>
      </w:r>
    </w:p>
    <w:p w:rsidR="00B15F9B" w:rsidRDefault="00511E8B">
      <w:pPr>
        <w:ind w:left="-15"/>
      </w:pPr>
      <w:r>
        <w:t>Формирование точек роста и реализация приоритетных пр</w:t>
      </w:r>
      <w:r>
        <w:t xml:space="preserve">оектов в республике требует применения новых подходов к пространственному планированию. </w:t>
      </w:r>
    </w:p>
    <w:p w:rsidR="00B15F9B" w:rsidRDefault="00511E8B">
      <w:pPr>
        <w:ind w:left="-15"/>
      </w:pPr>
      <w:r>
        <w:t>Важным конкурентным преимуществом республики является полицентричность, то есть наличие нескольких точек роста. При этом дальнейшее развитие Татарстана мы связываем не</w:t>
      </w:r>
      <w:r>
        <w:t xml:space="preserve"> с обособленным развитием агломераций, а с формированием между ними тесного взаимодействия и кооперации. Фактически должен сформироваться единый метрополитенский регион, объединяющий крупнейшие агломерации республики. </w:t>
      </w:r>
    </w:p>
    <w:p w:rsidR="00B15F9B" w:rsidRDefault="00511E8B">
      <w:pPr>
        <w:ind w:left="-15"/>
      </w:pPr>
      <w:r>
        <w:t>Это  потребует решения ряда принципиа</w:t>
      </w:r>
      <w:r>
        <w:t xml:space="preserve">льно новых задач в области кадрового обеспечения экономики, а также развития транспортной и общественной инфраструктуры. </w:t>
      </w:r>
    </w:p>
    <w:p w:rsidR="00B15F9B" w:rsidRDefault="00511E8B">
      <w:pPr>
        <w:ind w:left="-15"/>
      </w:pPr>
      <w:r>
        <w:t>Эти вопросы, а также сами стратегические проекты пространственного развития республики, обозначенные в моем выступлении, планируется о</w:t>
      </w:r>
      <w:r>
        <w:t xml:space="preserve">бсудить на мастер-классе Республики Татарстан, в котором приглашаю Вас принять участие. </w:t>
      </w:r>
    </w:p>
    <w:p w:rsidR="00B15F9B" w:rsidRDefault="00511E8B">
      <w:pPr>
        <w:spacing w:line="259" w:lineRule="auto"/>
        <w:ind w:left="708" w:firstLine="0"/>
      </w:pPr>
      <w:r>
        <w:t xml:space="preserve">Спасибо за внимание! </w:t>
      </w:r>
    </w:p>
    <w:sectPr w:rsidR="00B15F9B">
      <w:headerReference w:type="even" r:id="rId7"/>
      <w:headerReference w:type="default" r:id="rId8"/>
      <w:headerReference w:type="first" r:id="rId9"/>
      <w:pgSz w:w="11906" w:h="16838"/>
      <w:pgMar w:top="1196" w:right="565" w:bottom="117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1E8B">
      <w:pPr>
        <w:spacing w:after="0" w:line="240" w:lineRule="auto"/>
      </w:pPr>
      <w:r>
        <w:separator/>
      </w:r>
    </w:p>
  </w:endnote>
  <w:endnote w:type="continuationSeparator" w:id="0">
    <w:p w:rsidR="00000000" w:rsidRDefault="0051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1E8B">
      <w:pPr>
        <w:spacing w:after="0" w:line="240" w:lineRule="auto"/>
      </w:pPr>
      <w:r>
        <w:separator/>
      </w:r>
    </w:p>
  </w:footnote>
  <w:footnote w:type="continuationSeparator" w:id="0">
    <w:p w:rsidR="00000000" w:rsidRDefault="0051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9B" w:rsidRDefault="00511E8B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5F9B" w:rsidRDefault="00511E8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9B" w:rsidRDefault="00511E8B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1E8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5F9B" w:rsidRDefault="00511E8B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9B" w:rsidRDefault="00B15F9B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6D9E"/>
    <w:multiLevelType w:val="hybridMultilevel"/>
    <w:tmpl w:val="3666759C"/>
    <w:lvl w:ilvl="0" w:tplc="6524A4A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C40E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2BFA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F478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4E3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48E4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3F612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DA8D35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752749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9B"/>
    <w:rsid w:val="00511E8B"/>
    <w:rsid w:val="00B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74A6-B974-4599-BC98-7B5E348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386" w:lineRule="auto"/>
      <w:ind w:firstLine="698"/>
      <w:jc w:val="both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Л.В.Калимуллин</dc:creator>
  <cp:keywords/>
  <cp:lastModifiedBy>Ёлкина Светлана Анатольевна</cp:lastModifiedBy>
  <cp:revision>2</cp:revision>
  <dcterms:created xsi:type="dcterms:W3CDTF">2018-08-11T11:31:00Z</dcterms:created>
  <dcterms:modified xsi:type="dcterms:W3CDTF">2018-08-11T11:31:00Z</dcterms:modified>
</cp:coreProperties>
</file>