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10" w:rsidRDefault="00930510" w:rsidP="00930510">
      <w:pPr>
        <w:ind w:firstLine="709"/>
        <w:jc w:val="center"/>
        <w:rPr>
          <w:i/>
          <w:sz w:val="28"/>
          <w:szCs w:val="28"/>
        </w:rPr>
      </w:pPr>
      <w:bookmarkStart w:id="0" w:name="_GoBack"/>
      <w:bookmarkEnd w:id="0"/>
      <w:r w:rsidRPr="00093474">
        <w:rPr>
          <w:i/>
          <w:sz w:val="28"/>
          <w:szCs w:val="28"/>
        </w:rPr>
        <w:t>Информация о реализации государственной программы «Экономическое развитие и инновационная экономика Республики Татарстан на 2014-2021 годы» в 201</w:t>
      </w:r>
      <w:r>
        <w:rPr>
          <w:i/>
          <w:sz w:val="28"/>
          <w:szCs w:val="28"/>
        </w:rPr>
        <w:t>7</w:t>
      </w:r>
      <w:r w:rsidRPr="00093474">
        <w:rPr>
          <w:i/>
          <w:sz w:val="28"/>
          <w:szCs w:val="28"/>
        </w:rPr>
        <w:t xml:space="preserve"> году</w:t>
      </w:r>
    </w:p>
    <w:p w:rsidR="00930510" w:rsidRPr="00093474" w:rsidRDefault="00930510" w:rsidP="00930510">
      <w:pPr>
        <w:ind w:firstLine="709"/>
        <w:jc w:val="center"/>
        <w:rPr>
          <w:i/>
          <w:sz w:val="28"/>
          <w:szCs w:val="28"/>
        </w:rPr>
      </w:pPr>
    </w:p>
    <w:p w:rsidR="00A02E0F" w:rsidRPr="00DC1538" w:rsidRDefault="00A02E0F" w:rsidP="00A02E0F">
      <w:pPr>
        <w:ind w:firstLine="709"/>
        <w:jc w:val="both"/>
        <w:rPr>
          <w:sz w:val="28"/>
          <w:szCs w:val="28"/>
        </w:rPr>
      </w:pPr>
      <w:r w:rsidRPr="00DC1538">
        <w:rPr>
          <w:sz w:val="28"/>
          <w:szCs w:val="28"/>
        </w:rPr>
        <w:t xml:space="preserve">Ответственное министерство – Министерство экономики Республики Татарстан. </w:t>
      </w:r>
    </w:p>
    <w:p w:rsidR="00A02E0F" w:rsidRPr="00DC1538" w:rsidRDefault="00A02E0F" w:rsidP="00A02E0F">
      <w:pPr>
        <w:ind w:firstLine="709"/>
        <w:jc w:val="both"/>
        <w:rPr>
          <w:b/>
          <w:sz w:val="28"/>
          <w:szCs w:val="28"/>
        </w:rPr>
      </w:pPr>
      <w:r w:rsidRPr="00DC1538">
        <w:rPr>
          <w:sz w:val="28"/>
          <w:szCs w:val="28"/>
        </w:rPr>
        <w:t>В 2017 году на реализацию мероприятий государственной программы «Экономическое развитие и инновационная экономика Республики Татарстан на 2014-2020 годы» (далее – Программа) в соответствии со сводной бюджетной росписью было направлено средств в объеме 4 420,5 млн рублей. Из них за счет средств федерального бюджета – 248,5 млн рублей, бюджета Республики Татарстан – 4 120,1 млн рублей, бюджетов муниципальных образований – 1,5 млн рублей, внебюджетных источников – 50,4 млн рублей.</w:t>
      </w:r>
      <w:r w:rsidRPr="00DC1538">
        <w:t xml:space="preserve"> </w:t>
      </w:r>
      <w:r w:rsidRPr="00DC1538">
        <w:rPr>
          <w:sz w:val="28"/>
          <w:szCs w:val="28"/>
        </w:rPr>
        <w:t>Фактический объем</w:t>
      </w:r>
      <w:r w:rsidRPr="00DC1538">
        <w:t xml:space="preserve"> </w:t>
      </w:r>
      <w:r w:rsidRPr="00DC1538">
        <w:rPr>
          <w:sz w:val="28"/>
          <w:szCs w:val="28"/>
        </w:rPr>
        <w:t xml:space="preserve">использованных средств составил 4 345,2 млн рублей (или 98,3% от планового объема) за счет </w:t>
      </w:r>
      <w:r w:rsidRPr="00DC1538">
        <w:rPr>
          <w:rFonts w:eastAsia="Calibri"/>
          <w:bCs/>
          <w:sz w:val="28"/>
          <w:szCs w:val="28"/>
          <w:lang w:eastAsia="en-US"/>
        </w:rPr>
        <w:t>экономии по торгам, неосвоенный остаток возвращен в бюджет Республики Татарстан.</w:t>
      </w:r>
    </w:p>
    <w:p w:rsidR="00A02E0F" w:rsidRPr="00DC1538" w:rsidRDefault="00A02E0F" w:rsidP="00A02E0F">
      <w:pPr>
        <w:overflowPunct/>
        <w:autoSpaceDE/>
        <w:autoSpaceDN/>
        <w:adjustRightInd/>
        <w:ind w:firstLine="709"/>
        <w:jc w:val="both"/>
        <w:textAlignment w:val="auto"/>
        <w:rPr>
          <w:bCs/>
          <w:sz w:val="28"/>
          <w:szCs w:val="28"/>
        </w:rPr>
      </w:pPr>
      <w:r w:rsidRPr="00DC1538">
        <w:rPr>
          <w:bCs/>
          <w:sz w:val="28"/>
          <w:szCs w:val="28"/>
        </w:rPr>
        <w:t>На достижение целей и решение задач Программы направлена реализация следующих подпрограмм:</w:t>
      </w:r>
    </w:p>
    <w:p w:rsidR="00A02E0F" w:rsidRPr="00DC1538" w:rsidRDefault="00A02E0F" w:rsidP="00A02E0F">
      <w:pPr>
        <w:spacing w:before="120"/>
        <w:ind w:firstLine="709"/>
        <w:jc w:val="both"/>
        <w:rPr>
          <w:i/>
          <w:sz w:val="28"/>
          <w:szCs w:val="28"/>
        </w:rPr>
      </w:pPr>
      <w:r w:rsidRPr="00DC1538">
        <w:rPr>
          <w:i/>
          <w:sz w:val="28"/>
          <w:szCs w:val="28"/>
        </w:rPr>
        <w:t>1. Подпрограмма «Совершенствование государственной экономической политики в Республике Татарстан на 2014 – 2020 годы».</w:t>
      </w:r>
    </w:p>
    <w:p w:rsidR="00A02E0F" w:rsidRPr="00DC1538" w:rsidRDefault="00A02E0F" w:rsidP="00A02E0F">
      <w:pPr>
        <w:ind w:firstLine="709"/>
        <w:jc w:val="both"/>
        <w:rPr>
          <w:sz w:val="28"/>
          <w:szCs w:val="28"/>
        </w:rPr>
      </w:pPr>
      <w:r w:rsidRPr="00DC1538">
        <w:rPr>
          <w:sz w:val="28"/>
          <w:szCs w:val="28"/>
        </w:rPr>
        <w:t>По итогам 2017 года темп роста валового регионального продукта республики составил по оценке 102,8% в сопоставимых ценах к уровню 2016 года, индекс промышленного производства – 101,8% соответственно.</w:t>
      </w:r>
    </w:p>
    <w:p w:rsidR="00A02E0F" w:rsidRPr="00DC1538" w:rsidRDefault="00A02E0F" w:rsidP="00A02E0F">
      <w:pPr>
        <w:ind w:firstLine="709"/>
        <w:jc w:val="both"/>
        <w:rPr>
          <w:sz w:val="28"/>
          <w:szCs w:val="28"/>
        </w:rPr>
      </w:pPr>
      <w:bookmarkStart w:id="1" w:name="_Toc410308809"/>
      <w:bookmarkStart w:id="2" w:name="_Toc410309458"/>
      <w:r w:rsidRPr="00DC1538">
        <w:rPr>
          <w:sz w:val="28"/>
          <w:szCs w:val="28"/>
        </w:rPr>
        <w:t>В добыче полезных ископаемых индекс производства за аналогичный период составил 101% к уровню 2016 года, в обрабатывающих производствах – 102,6%, в обеспечении электрической энергией, газом, паром, кондиционировании воздуха – 99,9%, в водоснабжении, водоотведении, организации сбора и утилизации отходов, деятельности по ликвидации загрязнений – 103,9%.</w:t>
      </w:r>
    </w:p>
    <w:bookmarkEnd w:id="1"/>
    <w:bookmarkEnd w:id="2"/>
    <w:p w:rsidR="00A02E0F" w:rsidRPr="00DC1538" w:rsidRDefault="00A02E0F" w:rsidP="00A02E0F">
      <w:pPr>
        <w:ind w:firstLine="709"/>
        <w:jc w:val="both"/>
        <w:rPr>
          <w:sz w:val="28"/>
          <w:szCs w:val="28"/>
        </w:rPr>
      </w:pPr>
      <w:r w:rsidRPr="00DC1538">
        <w:rPr>
          <w:sz w:val="28"/>
          <w:szCs w:val="28"/>
        </w:rPr>
        <w:t>В Республике Татарстан действует 51 филиал ГБУ «Многофункциональный центр предоставления государственных и муниципальных услуг в Республике Татарстан» (далее – МФЦ) во всех муниципальных районах и городских округах и 293 удаленных окна приема заявителей в 282 сельских и городских поселениях республики, где проживает более 1 тысячи человек.</w:t>
      </w:r>
    </w:p>
    <w:p w:rsidR="00A02E0F" w:rsidRPr="00DC1538" w:rsidRDefault="00A02E0F" w:rsidP="00A02E0F">
      <w:pPr>
        <w:ind w:firstLine="709"/>
        <w:jc w:val="both"/>
        <w:rPr>
          <w:sz w:val="28"/>
          <w:szCs w:val="28"/>
        </w:rPr>
      </w:pPr>
      <w:r w:rsidRPr="00DC1538">
        <w:rPr>
          <w:sz w:val="28"/>
          <w:szCs w:val="28"/>
        </w:rPr>
        <w:t>Созданная система МФЦ обеспечивает достижение целевого значения показателя «доля граждан, имеющих доступ к получению государственных и муниципальных услуг по принципу «одного окна» по месту пребывания, в том числе в МФЦ», установленного Указом Президента Российской Федерации от 7 мая 2012 года № 601 «Об основных направлениях совершенствования системы государственного управления», – 90%.</w:t>
      </w:r>
    </w:p>
    <w:p w:rsidR="00A02E0F" w:rsidRPr="00DC1538" w:rsidRDefault="00A02E0F" w:rsidP="00A02E0F">
      <w:pPr>
        <w:ind w:firstLine="709"/>
        <w:jc w:val="both"/>
        <w:rPr>
          <w:sz w:val="28"/>
          <w:szCs w:val="28"/>
        </w:rPr>
      </w:pPr>
      <w:r w:rsidRPr="00DC1538">
        <w:rPr>
          <w:sz w:val="28"/>
          <w:szCs w:val="28"/>
        </w:rPr>
        <w:t>Востребованность услуг МФЦ ежегодно повышается. Так, за 2017 год было оказано 3,4 млн государственных, муниципальных и иных услуг (в 2015 году – более 1,8 млн услуг, в 2016 году – 2,7 млн году).</w:t>
      </w:r>
    </w:p>
    <w:p w:rsidR="00A02E0F" w:rsidRPr="00DC1538" w:rsidRDefault="00A02E0F" w:rsidP="00A02E0F">
      <w:pPr>
        <w:ind w:firstLine="709"/>
        <w:jc w:val="both"/>
        <w:rPr>
          <w:sz w:val="28"/>
          <w:szCs w:val="28"/>
        </w:rPr>
      </w:pPr>
      <w:r w:rsidRPr="00DC1538">
        <w:rPr>
          <w:sz w:val="28"/>
          <w:szCs w:val="28"/>
        </w:rPr>
        <w:lastRenderedPageBreak/>
        <w:t>С 1 января 2015 года при оказании в МФЦ ряда услуг федеральных органов власти 50% от уплаченной государственной пошлины поступает в бюджет республики. В 2017 году сумма поступлений составила 605 млн рублей, в 2015 году –  превысила 300 млн рублей, в 2016 году – 528,6 млн рублей.</w:t>
      </w:r>
    </w:p>
    <w:p w:rsidR="00A02E0F" w:rsidRPr="00DC1538" w:rsidRDefault="00A02E0F" w:rsidP="00A02E0F">
      <w:pPr>
        <w:ind w:firstLine="709"/>
        <w:jc w:val="both"/>
        <w:rPr>
          <w:sz w:val="28"/>
          <w:szCs w:val="28"/>
        </w:rPr>
      </w:pPr>
      <w:r w:rsidRPr="00DC1538">
        <w:rPr>
          <w:sz w:val="28"/>
          <w:szCs w:val="28"/>
        </w:rPr>
        <w:t>Сегодня в одном таком центре можно получить более 150 видов наиболее популярных услуг: услуги федеральных органов власти (Росреестра, Налоговой службы, МВД, Пенсионного фонда и т.д.), услуги органов ЗАГС и муниципальные услуги (в сфере земельно-имущественных отношений, архитектуры, архива и т.д.). При этом перечень услуг, предоставляемых в МФЦ, постоянно расширяется.</w:t>
      </w:r>
    </w:p>
    <w:p w:rsidR="00A02E0F" w:rsidRPr="00DC1538" w:rsidRDefault="00A02E0F" w:rsidP="00A02E0F">
      <w:pPr>
        <w:ind w:firstLine="709"/>
        <w:jc w:val="both"/>
        <w:rPr>
          <w:sz w:val="28"/>
          <w:szCs w:val="28"/>
        </w:rPr>
      </w:pPr>
      <w:r w:rsidRPr="00DC1538">
        <w:rPr>
          <w:sz w:val="28"/>
          <w:szCs w:val="28"/>
        </w:rPr>
        <w:t>В Республике Татарстан ведется активная работа по повышению качества предоставления услуг субъектам предпринимательства на базе МФЦ. Во всех МФЦ оказываются 7 услуг АО «Федеральная корпорация по развитию малого и среднего предпринимательства», направленных на развитие малого и среднего предпринимательства. Также создано 7 специализированных МФЦ, ориентированных на предоставление широкого перечня услуг субъектам предпринимательства и гражданам, планирующим начать предпринимательскую деятельность («МФЦ для бизнеса»).</w:t>
      </w:r>
    </w:p>
    <w:p w:rsidR="00A02E0F" w:rsidRPr="00DC1538" w:rsidRDefault="00A02E0F" w:rsidP="00A02E0F">
      <w:pPr>
        <w:ind w:firstLine="709"/>
        <w:jc w:val="both"/>
        <w:rPr>
          <w:sz w:val="28"/>
          <w:szCs w:val="28"/>
        </w:rPr>
      </w:pPr>
      <w:r w:rsidRPr="00DC1538">
        <w:rPr>
          <w:sz w:val="28"/>
          <w:szCs w:val="28"/>
        </w:rPr>
        <w:t>Кроме того, в 2017 году в г. Казани организована работа дополнительного офиса МФЦ – Центра оказания услуг (далее - ЦОУ), размещенного в помещении отделения Сбербанка. В ЦОУ гражданам и субъектам предпринимательства предоставляются как государственные и муниципальные услуги по принципу «одного окна», доступные во всех МФЦ, так и услуги Сбербанка. На месте можно оплатить платежи и госпошлину, воспользоваться доступом к порталам услуг для получения услуг в электронном виде.</w:t>
      </w:r>
    </w:p>
    <w:p w:rsidR="00A02E0F" w:rsidRPr="00DC1538" w:rsidRDefault="00A02E0F" w:rsidP="00A02E0F">
      <w:pPr>
        <w:ind w:firstLine="709"/>
        <w:jc w:val="both"/>
        <w:rPr>
          <w:sz w:val="28"/>
          <w:szCs w:val="28"/>
        </w:rPr>
      </w:pPr>
      <w:r w:rsidRPr="00DC1538">
        <w:rPr>
          <w:sz w:val="28"/>
          <w:szCs w:val="28"/>
        </w:rPr>
        <w:t xml:space="preserve">В целом результатом работы по перечисленным направлениям является рост в республике значения показателя «Уровень удовлетворенности населения качеством предоставления государственных и муниципальных услуг в МФЦ», мониторинг которого осуществляется через федеральную систему «Ваш контроль». По итогам 2017 года значение этого показателя составило 91,8 %, что превышает пороговое значение для 2018 года (90 %). </w:t>
      </w:r>
    </w:p>
    <w:p w:rsidR="00A02E0F" w:rsidRPr="00DC1538" w:rsidRDefault="00A02E0F" w:rsidP="00A02E0F">
      <w:pPr>
        <w:ind w:firstLine="709"/>
        <w:jc w:val="both"/>
        <w:rPr>
          <w:sz w:val="28"/>
          <w:szCs w:val="28"/>
        </w:rPr>
      </w:pPr>
      <w:r w:rsidRPr="00DC1538">
        <w:rPr>
          <w:sz w:val="28"/>
          <w:szCs w:val="28"/>
        </w:rPr>
        <w:t>Большую роль в привлечении граждан к решению вопросов местного значения играет также деятельность территориальных общественных самоуправлений (далее – ТОС). На сегодняшний день на территории Республики Татарстан зарегистрировано 360 ТОС.</w:t>
      </w:r>
    </w:p>
    <w:p w:rsidR="00A02E0F" w:rsidRPr="00DC1538" w:rsidRDefault="00A02E0F" w:rsidP="00A02E0F">
      <w:pPr>
        <w:ind w:firstLine="709"/>
        <w:jc w:val="both"/>
        <w:rPr>
          <w:sz w:val="28"/>
          <w:szCs w:val="28"/>
        </w:rPr>
      </w:pPr>
      <w:r w:rsidRPr="00DC1538">
        <w:rPr>
          <w:sz w:val="28"/>
          <w:szCs w:val="28"/>
        </w:rPr>
        <w:t xml:space="preserve">С 2015 года в республике проводится республиканский конкурс «Лучшее территориальное общественное самоуправление года Республики Татарстан», направленный на повышение эффективности деятельности ТОС, развитие и стимулирование деловой и социальной активности населения в решении вопросов местного значения на территории муниципальных образований республики. По итогам конкурса, проведенного в 2017 году, было определено 120 победителей и призеров конкурса и оказана государственная поддержка в размере 50,0 млн. рублей. </w:t>
      </w:r>
    </w:p>
    <w:p w:rsidR="00A02E0F" w:rsidRPr="00DC1538" w:rsidRDefault="00A02E0F" w:rsidP="00A02E0F">
      <w:pPr>
        <w:ind w:firstLine="709"/>
        <w:jc w:val="both"/>
        <w:rPr>
          <w:sz w:val="28"/>
          <w:szCs w:val="28"/>
        </w:rPr>
      </w:pPr>
      <w:r w:rsidRPr="00DC1538">
        <w:rPr>
          <w:sz w:val="28"/>
          <w:szCs w:val="28"/>
        </w:rPr>
        <w:lastRenderedPageBreak/>
        <w:t>По итогам реализации мероприятий подпрограммы перевыполнены плановые значения по 2 индикаторам:</w:t>
      </w:r>
    </w:p>
    <w:p w:rsidR="00A02E0F" w:rsidRPr="00DC1538" w:rsidRDefault="00A02E0F" w:rsidP="00A02E0F">
      <w:pPr>
        <w:ind w:firstLine="709"/>
        <w:jc w:val="both"/>
        <w:rPr>
          <w:sz w:val="28"/>
          <w:szCs w:val="28"/>
        </w:rPr>
      </w:pPr>
      <w:r w:rsidRPr="00DC1538">
        <w:rPr>
          <w:sz w:val="28"/>
          <w:szCs w:val="28"/>
        </w:rPr>
        <w:t>- «количество оказанных в многофункциональных центрах государственных, муниципальных и иных услуг» составило 3 499 193 единицы при запланированном значении 1 560 176 единиц (выполнение 224%), что связано с расширением перечня оказываемых услуг через ГБУ МФЦ в Республике Татарстан. Плановые значения показателя на 2018 год скорректированы с учетом достигнутых значений в 2017 году;</w:t>
      </w:r>
    </w:p>
    <w:p w:rsidR="00A02E0F" w:rsidRPr="00DC1538" w:rsidRDefault="00A02E0F" w:rsidP="00A02E0F">
      <w:pPr>
        <w:ind w:firstLine="709"/>
        <w:jc w:val="both"/>
        <w:rPr>
          <w:sz w:val="28"/>
          <w:szCs w:val="28"/>
        </w:rPr>
      </w:pPr>
      <w:r w:rsidRPr="00DC1538">
        <w:rPr>
          <w:sz w:val="28"/>
          <w:szCs w:val="28"/>
        </w:rPr>
        <w:t>- «экономическая эффективность размещения заказов (отношение суммы экономии к сумме размещенных заказов)» составила 6,7% при запланированном значении 4,5% (выполнение 149%).</w:t>
      </w:r>
    </w:p>
    <w:p w:rsidR="00A02E0F" w:rsidRPr="00DC1538" w:rsidRDefault="00A02E0F" w:rsidP="00A02E0F">
      <w:pPr>
        <w:ind w:firstLine="567"/>
        <w:jc w:val="both"/>
        <w:rPr>
          <w:sz w:val="28"/>
          <w:szCs w:val="28"/>
        </w:rPr>
      </w:pPr>
      <w:r w:rsidRPr="00DC1538">
        <w:rPr>
          <w:sz w:val="28"/>
          <w:szCs w:val="28"/>
        </w:rPr>
        <w:t>21 ноября 2017 года Государственный комитет Республики Татарстан по закупкам опубликовал извещение об электронном аукционе на оказание услуг по техническому обслуживанию системы охранно-пожарной сигнализации на 2018 год № 0111200000917001104 с НМЦК на сумму 92 245 рублей. Обоснование НМЦК проводилось на основании запроса коммерческих предложений организациям, имеющим право на оказание услуг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4 мая 2011 г. N 99-ФЗ «О лицензировании отдельных видов деятельности». На участие в электронном аукционе поступило 7 заявок. По результатам проведения электронного аукциона определен победитель с ценой контракта 38 742,67 рублей. Таким образом, произошло снижение на 58% от ранее предусмотренного объема средств.</w:t>
      </w:r>
    </w:p>
    <w:p w:rsidR="00A02E0F" w:rsidRPr="00DC1538" w:rsidRDefault="00A02E0F" w:rsidP="00A02E0F">
      <w:pPr>
        <w:ind w:firstLine="567"/>
        <w:jc w:val="both"/>
        <w:rPr>
          <w:sz w:val="28"/>
          <w:szCs w:val="28"/>
        </w:rPr>
      </w:pPr>
      <w:r w:rsidRPr="00DC1538">
        <w:rPr>
          <w:sz w:val="28"/>
          <w:szCs w:val="28"/>
        </w:rPr>
        <w:t>27 ноября 2017 года Государственный комитет Республики Татарстан по закупкам опубликовал извещение об открытом конкурсе на оказание услуг по охране здания и прилегающей территории на 2018 год для собственных нужд № 0111200000917001189 с НМЦК на сумму 1 693 680 рублей. Обоснование НМЦК проводилось на основании запроса коммерческих предложений частным охранным предприятиям. На участие в открытом конкурсе поступило 5 заявок. По результатам проведения открытого конкурса определен победитель с ценой контракта 431 730 рублей. Таким образом, произошло снижение на 74,5% от ранее предусмотренного объема средств.</w:t>
      </w:r>
    </w:p>
    <w:p w:rsidR="00A02E0F" w:rsidRPr="00DC1538" w:rsidRDefault="00A02E0F" w:rsidP="00A02E0F">
      <w:pPr>
        <w:ind w:firstLine="567"/>
        <w:jc w:val="both"/>
        <w:rPr>
          <w:sz w:val="28"/>
          <w:szCs w:val="28"/>
        </w:rPr>
      </w:pPr>
      <w:r w:rsidRPr="00DC1538">
        <w:rPr>
          <w:sz w:val="28"/>
          <w:szCs w:val="28"/>
        </w:rPr>
        <w:t xml:space="preserve">К указанным исполнителям применены антидемпинговые меры в соответствии с ч.2, ст.37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A02E0F" w:rsidRPr="00DC1538" w:rsidRDefault="00A02E0F" w:rsidP="00A02E0F">
      <w:pPr>
        <w:spacing w:before="120"/>
        <w:ind w:firstLine="709"/>
        <w:jc w:val="both"/>
        <w:rPr>
          <w:i/>
          <w:sz w:val="28"/>
          <w:szCs w:val="28"/>
        </w:rPr>
      </w:pPr>
      <w:r w:rsidRPr="00DC1538">
        <w:rPr>
          <w:i/>
          <w:sz w:val="28"/>
          <w:szCs w:val="28"/>
        </w:rPr>
        <w:t xml:space="preserve">2. Подпрограмма «Развитие малого и среднего предпринимательства в Республике Татарстан на 2014 – 2017 годы». </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xml:space="preserve">В условиях замедления темпов экономического роста возрастает роль малого и среднего бизнеса, который быстрее адаптируется к изменяющейся среде. Не требуя значительных затрат со стороны государства, малый и средний бизнес стабилизирует социальную ситуацию в регионе, решая проблемы, связанные с социальной напряженностью и занятостью населения. </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lastRenderedPageBreak/>
        <w:t xml:space="preserve">В целом, за 2017 год наблюдается положительная динамика показателей развития малого и среднего бизнеса. В этом секторе работают 169,2 тысяч предпринимателей - на 2,4% больше, чем в 2016 году. На 3,8% увеличилось число индивидуальных предпринимателей по сравнению с 2016 годом. </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Доля субъектов малого и среднего предпринимательства в ВРП Республики Татарстан за 2017 года составила 25,6%, в том числе: доля субъектов малого предпринимательства – 16,4 %, среднего предпринимательства – 2,2 %.</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Среди основных программ поддержки предпринимательства можно отметить:</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xml:space="preserve">1. Программа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В 2017 году победителями признано 70 субъектов на сумму 105,04 млн рублей; </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xml:space="preserve">2. Программа Поручительства НО «Гарантийный фонд Республики Татарстан» (далее – Гарантийный фонд). За 2017 год выдано 205 поручительств на сумму 898,494 млн рублей, что позволило предпринимателям привлечь кредиты на сумму 3959,766 млн рублей; </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3. Программа поддержки микрофинансовых организаций, где уже каждый предприниматель может получить микрозайм. В 2017 году было выдано 462 микрозайма на сумму 771,415 млн. рублей.</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Важно отметить, что в основном, проекты предпринимателей, получивших государственную поддержку, направлены на производство высокотехнологичной продукции, импортозамещение и экспорт.</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В 2017 году создана первая в России АО «Региональная лизинговая компания Республики Татарстан» совместно с АО «Федеральная корпорация по развитию малого и среднего предпринимательства». Участниками программы льготного лизинга являются индивидуальные и малые предприятия республики. В 2017 году профинансировано 8 проектов на общую сумму 309 млн рублей. На 2018 год планируется профинансировать сделки на общую сумму 1 735 млн рублей, в том числе 100 млн рублей на финансирование сельхозкооператива.</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В 2017 году завершено строительство инженерной инфраструктуры промышленных парков «Актаныш», «Кукмор», «Дрожжаное» и получены разрешения на ввод объектов в эксплуатацию.</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В 2018 году планируется реализация мероприятий по финансовой, имущественной и информационно-консультационной поддержке через объекты инфраструктуры.</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По итогам 2017 года все индикаторы подпрограммы выполнены в полном объеме.</w:t>
      </w:r>
    </w:p>
    <w:p w:rsidR="00A02E0F" w:rsidRPr="00DC1538" w:rsidRDefault="00A02E0F" w:rsidP="00A02E0F">
      <w:pPr>
        <w:overflowPunct/>
        <w:autoSpaceDE/>
        <w:autoSpaceDN/>
        <w:adjustRightInd/>
        <w:spacing w:before="120"/>
        <w:ind w:firstLine="709"/>
        <w:jc w:val="both"/>
        <w:textAlignment w:val="auto"/>
        <w:rPr>
          <w:rFonts w:eastAsiaTheme="minorHAnsi"/>
          <w:i/>
          <w:sz w:val="28"/>
          <w:szCs w:val="28"/>
          <w:lang w:eastAsia="en-US"/>
        </w:rPr>
      </w:pPr>
      <w:r w:rsidRPr="00DC1538">
        <w:rPr>
          <w:rFonts w:eastAsiaTheme="minorHAnsi"/>
          <w:i/>
          <w:sz w:val="28"/>
          <w:szCs w:val="28"/>
          <w:lang w:eastAsia="en-US"/>
        </w:rPr>
        <w:t>3. Подпрограмма «Поддержка социально ориентированных некоммерческих организаций в Республике Татарстан на 2014 – 2020 годы».</w:t>
      </w:r>
    </w:p>
    <w:p w:rsidR="00A02E0F" w:rsidRPr="00DC1538" w:rsidRDefault="00A02E0F" w:rsidP="00A02E0F">
      <w:pPr>
        <w:overflowPunct/>
        <w:ind w:firstLine="709"/>
        <w:jc w:val="both"/>
        <w:textAlignment w:val="auto"/>
        <w:rPr>
          <w:rFonts w:eastAsia="Calibri"/>
          <w:sz w:val="28"/>
          <w:szCs w:val="28"/>
          <w:lang w:eastAsia="en-US"/>
        </w:rPr>
      </w:pPr>
      <w:r w:rsidRPr="00DC1538">
        <w:rPr>
          <w:rFonts w:eastAsia="Calibri"/>
          <w:sz w:val="28"/>
          <w:szCs w:val="28"/>
          <w:lang w:eastAsia="en-US"/>
        </w:rPr>
        <w:t xml:space="preserve">В настоящее время некоммерческие организации стали значимой составляющей общественно-политического и экономического развития </w:t>
      </w:r>
      <w:r w:rsidRPr="00DC1538">
        <w:rPr>
          <w:rFonts w:eastAsia="Calibri"/>
          <w:sz w:val="28"/>
          <w:szCs w:val="28"/>
          <w:lang w:eastAsia="en-US"/>
        </w:rPr>
        <w:lastRenderedPageBreak/>
        <w:t>Республики Татарстан. Вовлекая в свою деятельность граждан, некоммерческий сектор активно включается в решение актуальных задач, стоящих перед обществом и государством. Общественный запрос на расширение поля деятельности социально ориентированных некоммерческих организаций (далее – СОНКО), становление гражданской активности подкрепляются усилиями органов государственной власти по передаче части государственных функций СОНКО.</w:t>
      </w:r>
    </w:p>
    <w:p w:rsidR="00A02E0F" w:rsidRPr="00DC1538" w:rsidRDefault="00A02E0F" w:rsidP="00A02E0F">
      <w:pPr>
        <w:overflowPunct/>
        <w:ind w:firstLine="709"/>
        <w:jc w:val="both"/>
        <w:textAlignment w:val="auto"/>
        <w:rPr>
          <w:rFonts w:eastAsia="Calibri"/>
          <w:sz w:val="28"/>
          <w:szCs w:val="28"/>
          <w:lang w:eastAsia="en-US"/>
        </w:rPr>
      </w:pPr>
      <w:r w:rsidRPr="00DC1538">
        <w:rPr>
          <w:rFonts w:eastAsia="Calibri"/>
          <w:sz w:val="28"/>
          <w:szCs w:val="28"/>
          <w:lang w:eastAsia="en-US"/>
        </w:rPr>
        <w:t>Во всех 45 муниципальных образованиях Республики Татарстан приняты и реализуются муниципальные программы поддержки СОНКО.</w:t>
      </w:r>
    </w:p>
    <w:p w:rsidR="00A02E0F" w:rsidRPr="00DC1538" w:rsidRDefault="00A02E0F" w:rsidP="00A02E0F">
      <w:pPr>
        <w:jc w:val="both"/>
        <w:rPr>
          <w:rFonts w:eastAsia="Calibri"/>
          <w:sz w:val="28"/>
          <w:szCs w:val="28"/>
          <w:lang w:eastAsia="en-US"/>
        </w:rPr>
      </w:pPr>
      <w:r w:rsidRPr="00DC1538">
        <w:rPr>
          <w:rFonts w:eastAsia="Calibri"/>
          <w:sz w:val="28"/>
          <w:szCs w:val="28"/>
          <w:lang w:eastAsia="en-US"/>
        </w:rPr>
        <w:t>По итогам проведенного конкурса на соискание премии Президента Республики Татарстан Р.Н.Минниханова за вклад в развитие институтов гражданского общества (общий призовой фонд – 1,7 млн рублей) в 2017 году премия в соответствии с Указом Президента РТ от 13.10.2017 № УП-899 присуждена И.И.Бикееву (первому проректору ИЭУП им.В.Г.Тимирясова), А.Ф.Валиевой  (директору благотворительного фонда «Ак барс созидание»), Региональной Молодежной Общественная Организация Республики Татарстан «Созвездие-Йолдызлык», Региональному отделению Всероссийской общественной организации «Русское географическое общество» в Республике Татарстан, Республиканскому общественному фонду Всемирного конгресса татар.</w:t>
      </w:r>
    </w:p>
    <w:p w:rsidR="00A02E0F" w:rsidRPr="00DC1538" w:rsidRDefault="00A02E0F" w:rsidP="00A02E0F">
      <w:pPr>
        <w:overflowPunct/>
        <w:ind w:firstLine="709"/>
        <w:jc w:val="both"/>
        <w:textAlignment w:val="auto"/>
        <w:rPr>
          <w:rFonts w:eastAsia="Calibri"/>
          <w:sz w:val="28"/>
          <w:szCs w:val="28"/>
          <w:lang w:eastAsia="en-US"/>
        </w:rPr>
      </w:pPr>
      <w:r w:rsidRPr="00DC1538">
        <w:rPr>
          <w:rFonts w:eastAsia="Calibri"/>
          <w:sz w:val="28"/>
          <w:szCs w:val="28"/>
          <w:lang w:eastAsia="en-US"/>
        </w:rPr>
        <w:t>По состоянию на 1 января 2018 года в Республиканском реестре содержатся сведения о 682 организациях – получателях поддержки на муниципальном и республиканском уровнях, которым в течение 2010-2017 годов оказана финансовая помощь на общую сумму 5,0 млрд рублей, из них органами исполнительной власти оказана финансовая помощь на сумму 4,7 млрд рублей, органами местного самоуправления – 59,0 млн рублей, за счет федеральных грантов – 221,9 млн рублей.</w:t>
      </w:r>
    </w:p>
    <w:p w:rsidR="00A02E0F" w:rsidRPr="00DC1538" w:rsidRDefault="00A02E0F" w:rsidP="00A02E0F">
      <w:pPr>
        <w:overflowPunct/>
        <w:ind w:firstLine="709"/>
        <w:jc w:val="both"/>
        <w:textAlignment w:val="auto"/>
        <w:rPr>
          <w:rFonts w:eastAsia="Calibri"/>
          <w:sz w:val="28"/>
          <w:szCs w:val="28"/>
          <w:lang w:eastAsia="en-US"/>
        </w:rPr>
      </w:pPr>
      <w:r w:rsidRPr="00DC1538">
        <w:rPr>
          <w:rFonts w:eastAsia="Calibri"/>
          <w:sz w:val="28"/>
          <w:szCs w:val="28"/>
          <w:lang w:eastAsia="en-US"/>
        </w:rPr>
        <w:t>В рамках инфраструктурной поддержки СОНКО с 2017 года в Республике Татарстан функционируют межмуниципальные ресурсные центры НКО, которые осуществляют обучение, консалтинг и сопровождение деятельности СОНКО за счет средств подпрограммы. В Казанской экономической зоне функцию межмуниципального ресурсного центра осуществляет НО «Фонд поддержки предпринимательства Республики Татарстан» (г. Казань), в Камской экономической зоне - АНО «Ресурсный Центр развития и дополнительного образования институтов гражданского общества «Перспектива» (г. Набережные Челны), в Альметьевской экономической зоне до 2018 года функцию межмуниципального ресурсного центра осуществляли обе вышеуказанные организации.</w:t>
      </w:r>
    </w:p>
    <w:p w:rsidR="00A02E0F" w:rsidRPr="00DC1538" w:rsidRDefault="00A02E0F" w:rsidP="00A02E0F">
      <w:pPr>
        <w:overflowPunct/>
        <w:ind w:firstLine="709"/>
        <w:jc w:val="both"/>
        <w:textAlignment w:val="auto"/>
        <w:rPr>
          <w:rFonts w:eastAsia="Calibri"/>
          <w:sz w:val="28"/>
          <w:szCs w:val="28"/>
          <w:lang w:eastAsia="en-US"/>
        </w:rPr>
      </w:pPr>
      <w:r w:rsidRPr="00DC1538">
        <w:rPr>
          <w:rFonts w:eastAsia="Calibri"/>
          <w:sz w:val="28"/>
          <w:szCs w:val="28"/>
          <w:lang w:eastAsia="en-US"/>
        </w:rPr>
        <w:t xml:space="preserve">В Республике Татарстан в рамках оказания содействия негосударственным организациям в предоставлении услуг в сфере социального обслуживания, повышения уровня компетентности сотрудников СОНКО НО «Фонд поддержки предпринимательства Республики Татарстан» совместно с Казанским (Приволжским) федеральным университетом и Министерством труда, занятости и социальной защиты Республики Татарстан разработана образовательная программа профессиональной переподготовки и </w:t>
      </w:r>
      <w:r w:rsidRPr="00DC1538">
        <w:rPr>
          <w:rFonts w:eastAsia="Calibri"/>
          <w:sz w:val="28"/>
          <w:szCs w:val="28"/>
          <w:lang w:eastAsia="en-US"/>
        </w:rPr>
        <w:lastRenderedPageBreak/>
        <w:t>методические рекомендации по курсу «Социальное проектирование и управление социальными проектами» (продолжительностью 260 часов), направленные на разработку «дорожной карты» и подготовку пакета документов для включения СОНКО в реестр поставщиков социальных услуг, в том числе для обеспечения доступа к бюджетным средствам, направляемым на оказание социальных услуг населению. В соответствии с указанной программой в 2017 году обучены 20 представителей СОНКО.</w:t>
      </w:r>
    </w:p>
    <w:p w:rsidR="00A02E0F" w:rsidRPr="00DC1538" w:rsidRDefault="00A02E0F" w:rsidP="00A02E0F">
      <w:pPr>
        <w:overflowPunct/>
        <w:ind w:firstLine="709"/>
        <w:jc w:val="both"/>
        <w:textAlignment w:val="auto"/>
        <w:rPr>
          <w:rFonts w:eastAsia="Calibri"/>
          <w:sz w:val="28"/>
          <w:szCs w:val="28"/>
          <w:lang w:eastAsia="en-US"/>
        </w:rPr>
      </w:pPr>
      <w:r w:rsidRPr="00DC1538">
        <w:rPr>
          <w:rFonts w:eastAsia="Calibri"/>
          <w:sz w:val="28"/>
          <w:szCs w:val="28"/>
          <w:lang w:eastAsia="en-US"/>
        </w:rPr>
        <w:t>АНО «Ресурсный Центр развития и дополнительного образования институтов гражданского общества «Перспектива» (г.Набережные Челны) организована работа по проведению круглых столов, семинаров, работа «горячих линий» по вопросам поддержки СОНКО. В 2017 году указанной организацией проведено обучение более 600 представителей СОНКО по развитию и предоставлению качественных социальных услуг населению, проведены 234 консультации по вопросам предоставления социальных услуг, реализации социально-значимых проектов СОНКО, повышения эффективности деятельности СОНКО, из них 119 консультаций связаны с вхождением в Реестр поставщиков социальных услуг и осуществлением деятельности в качестве поставщиков социальных услуг.</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 xml:space="preserve">В 2017 году в Реестр </w:t>
      </w:r>
      <w:r w:rsidRPr="00DC1538">
        <w:rPr>
          <w:sz w:val="28"/>
          <w:szCs w:val="28"/>
        </w:rPr>
        <w:t xml:space="preserve">поставщиков социальных услуг </w:t>
      </w:r>
      <w:r w:rsidRPr="00DC1538">
        <w:rPr>
          <w:rFonts w:eastAsia="Calibri"/>
          <w:sz w:val="28"/>
          <w:szCs w:val="28"/>
          <w:lang w:eastAsia="en-US"/>
        </w:rPr>
        <w:t>включены 13 негосударственных организаций (из них 7 СОНКО), в том числе:</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6 негосударственных организаций (из них 2 СОНКО), оказывающих реабилитационные услуги гражданам пожилого возраста и инвалидам;</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6 негосударственных организаций (из них 4 СОНКО), оказывающих реабилитационные услуги детям и подросткам с ограниченными возможностями;</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1 СОНКО, оказывающая социальные услуги семьям, находящимся в социально опасном положении.</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Удельный вес негосударственных организаций, оказывающих социальные услуги, от общего количества организаций всех форм собственности составляет 9,7%.</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 xml:space="preserve">В 2017 году негосударственными организациями обслужено </w:t>
      </w:r>
      <w:r w:rsidRPr="00DC1538">
        <w:rPr>
          <w:rFonts w:eastAsia="Calibri"/>
          <w:sz w:val="28"/>
          <w:szCs w:val="28"/>
          <w:lang w:eastAsia="en-US"/>
        </w:rPr>
        <w:br/>
        <w:t>4251 человек, из бюджета Республики Татарстан им выплачена компенсация в размере 73,1 млн рублей.</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 xml:space="preserve">В 2017 году доля средств бюджета Республики Татарстан, выделяемых СОНКО на предоставление услуг, в общем объеме средств указанных бюджетов, выделяемых на предоставление услуг в соответствующей сфере, составила в сфере: </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социального обслуживания и социального сопровождения - 3,1 %, в том числе СОНКО – 1,7 %;</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дополнительного образования детей - 6,0 %;</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охраны здоровья граждан - 1,2 %;</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культуры – 6,0</w:t>
      </w:r>
      <w:r w:rsidRPr="00DC1538">
        <w:rPr>
          <w:rFonts w:eastAsia="Calibri"/>
          <w:sz w:val="28"/>
          <w:szCs w:val="28"/>
          <w:lang w:val="en-US" w:eastAsia="en-US"/>
        </w:rPr>
        <w:t> </w:t>
      </w:r>
      <w:r w:rsidRPr="00DC1538">
        <w:rPr>
          <w:rFonts w:eastAsia="Calibri"/>
          <w:sz w:val="28"/>
          <w:szCs w:val="28"/>
          <w:lang w:eastAsia="en-US"/>
        </w:rPr>
        <w:t>%;</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физической культуры и массового спорта – 1,1</w:t>
      </w:r>
      <w:r w:rsidRPr="00DC1538">
        <w:rPr>
          <w:rFonts w:eastAsia="Calibri"/>
          <w:sz w:val="28"/>
          <w:szCs w:val="28"/>
          <w:lang w:val="en-US" w:eastAsia="en-US"/>
        </w:rPr>
        <w:t> </w:t>
      </w:r>
      <w:r w:rsidRPr="00DC1538">
        <w:rPr>
          <w:rFonts w:eastAsia="Calibri"/>
          <w:sz w:val="28"/>
          <w:szCs w:val="28"/>
          <w:lang w:eastAsia="en-US"/>
        </w:rPr>
        <w:t>%.</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 xml:space="preserve">В республике разработан Порядок оценки эффективности деятельности СОНКО, осуществляющих деятельность в социальной сфере, утвержденный </w:t>
      </w:r>
      <w:r w:rsidRPr="00DC1538">
        <w:rPr>
          <w:rFonts w:eastAsia="Calibri"/>
          <w:sz w:val="28"/>
          <w:szCs w:val="28"/>
          <w:lang w:eastAsia="en-US"/>
        </w:rPr>
        <w:lastRenderedPageBreak/>
        <w:t>постановлением Кабинета Министров Республики Татарстан от 13.07.2017 № 485 «Об оценке эффективности деятельности социально ориентированных некоммерческих организаций, осуществляющих деятельность в социальной сфере».</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В республике для СОНКО, участвующих в реализации социально значимых проектов, ежегодно проводятся республиканские конкурсы социальных проектов «Общественная инициатива» и на получение грантов Кабинета Министров Республики Татарстан, которые являются одной из форм государственной поддержки общественных организаций республики. В 2017 году на эти цели из бюджета Республики Татарстан выделено 10,3 млн рублей. Победителями конкурсов в 2017 году стали 67 некоммерческих организаций.</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В целях решения актуальных социально значимых вопросов муниципальных районов и городских округов Республики Татарстан в 2017 году проведен конкурс по предоставлению субсидий из бюджета Республики Татарстан СОНКО, реализующим социально значимые проекты. По результатам проведенного конкурса 112 СОНКО получили субсидию на реализацию социально значимых проектов на общую сумму 35 млн рублей.</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Значительная роль в республике отводится вопросу информационной поддержки деятельности СОНКО, заключающейся в широком освещении в республиканских СМИ реализации социально значимых проектов. Существенная работа по пропаганде и популяризации деятельности СОНКО проводится Общественной палатой Республики Татарстан и Республиканским агентством по печати и массовым коммуникациям «Татмедиа» (далее - Татмедиа).</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Татмедиа реализуется Республиканский план мероприятий по информационной поддержке деятельности СОНКО, благотворительности, добровольчества и социального предпринимательства. Ведется постоянная работа по информационной поддержке реализации СОНКО значимых социально-гуманитарных проектов, а также формирования идеи добровольчества и благотворительности в Республике Татарстан.</w:t>
      </w:r>
    </w:p>
    <w:p w:rsidR="00A02E0F" w:rsidRPr="00DC1538" w:rsidRDefault="00A02E0F" w:rsidP="00A02E0F">
      <w:pPr>
        <w:overflowPunct/>
        <w:ind w:firstLine="709"/>
        <w:contextualSpacing/>
        <w:jc w:val="both"/>
        <w:textAlignment w:val="auto"/>
        <w:rPr>
          <w:rFonts w:eastAsia="Calibri"/>
          <w:sz w:val="28"/>
          <w:szCs w:val="28"/>
          <w:lang w:eastAsia="en-US"/>
        </w:rPr>
      </w:pPr>
      <w:r w:rsidRPr="00DC1538">
        <w:rPr>
          <w:rFonts w:eastAsia="Calibri"/>
          <w:sz w:val="28"/>
          <w:szCs w:val="28"/>
          <w:lang w:eastAsia="en-US"/>
        </w:rPr>
        <w:t>2 декабря 2017 года в ТРК «Корстон» проведен IV Республиканский форум СОНКО с участием Президента Республики Татарстан Р.Н.Минниханова, где на выставке были представлены 16 лучших практик СОНКО.</w:t>
      </w:r>
    </w:p>
    <w:p w:rsidR="00A02E0F" w:rsidRPr="00DC1538" w:rsidRDefault="00A02E0F" w:rsidP="00A02E0F">
      <w:pPr>
        <w:overflowPunct/>
        <w:autoSpaceDE/>
        <w:autoSpaceDN/>
        <w:adjustRightInd/>
        <w:ind w:right="-1" w:firstLine="709"/>
        <w:jc w:val="both"/>
        <w:textAlignment w:val="auto"/>
        <w:rPr>
          <w:sz w:val="28"/>
          <w:szCs w:val="28"/>
        </w:rPr>
      </w:pPr>
      <w:r w:rsidRPr="00DC1538">
        <w:rPr>
          <w:sz w:val="28"/>
          <w:szCs w:val="28"/>
        </w:rPr>
        <w:t>По итогам реализации мероприятий подпрограммы было значительно перевыполнено плановое значение по 1 индикатору:</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 «количество СОНКО, получивших субсидии на реализацию проектов, направленных на развитие патриотического воспитания детей и молодежи»</w:t>
      </w:r>
      <w:r w:rsidRPr="00DC1538">
        <w:rPr>
          <w:sz w:val="28"/>
          <w:szCs w:val="28"/>
        </w:rPr>
        <w:t xml:space="preserve"> составило 5 единиц при запланированном значении 3 единицы (выполнение 167%), что обусловлено решением конкурсной комиссии об увеличении до 5 СОНКО количества победителей данного отбора.</w:t>
      </w:r>
    </w:p>
    <w:p w:rsidR="00A02E0F" w:rsidRPr="00DC1538" w:rsidRDefault="00A02E0F" w:rsidP="00A02E0F">
      <w:pPr>
        <w:spacing w:before="120"/>
        <w:ind w:firstLine="709"/>
        <w:jc w:val="both"/>
        <w:rPr>
          <w:i/>
          <w:sz w:val="28"/>
          <w:szCs w:val="28"/>
        </w:rPr>
      </w:pPr>
      <w:r w:rsidRPr="00DC1538">
        <w:rPr>
          <w:i/>
          <w:sz w:val="28"/>
          <w:szCs w:val="28"/>
        </w:rPr>
        <w:t>4. Подпрограмма «Повышение производительности труда на предприятиях Республики Татарстан на 2015 – 2020 годы».</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lastRenderedPageBreak/>
        <w:t>В рамках реализации мероприятий подпрограммы в 2017 году проведен мониторинг показателей производительности труда по данным статистической отчётности 30 предприятий Республики Татарстан, а также отобраны 10 предприятий по 2 отраслям промышленности (химия и нефтехимия, машиностроение) для проведения комплексного анализа, разработки проектов и программ повышения производительности труда.</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В рамках деятельности совместных рабочих (проектных) групп «ГАУ «Центр энергосберегающих технологий Республики Татарстан при Кабинете Министров Республики Татарстан» - предприятие» с привлеченными экспертами проведен аудит резервов роста производительности труда на предприятиях - участниках подпрограммы по направлениям:</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анализ финансово-хозяйственной деятельности предприятия;</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анализ производственной инфраструктуры;</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актуализация проектов развития и модернизации;</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оценка целесообразности создания промышленного кластера;</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аудит экспортного потенциала предприятия;</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разработка проектов внедрения бережливого производства;</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разработка проектов и мероприятий повышения производительности труда.</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разработка программ повышения производительности труда предприятий – участников.</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В рамках работ по разработке проектов по организационным изменениям и внедрению инструментов процессного управления на предприятиях – участниках подпрограммы, в рамках деятельности совместных рабочих (проектных) групп «ГАУ Центр энергосберегающих технологий Республики Татарстан при Кабинете Министров Республики Татарстан» - предприятие» с привлеченными экспертами, выполнены:</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 xml:space="preserve">анализ состояния процессов управления предприятием «верхнего» уровня; </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обоснование процессов, рекомендуемых к оптимизации при реализации проектов;</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диагностика и оценка уровня развития элемента «Процессы»: преимущества и резервы элемента «Процессы»;</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оценка потерь от неэффективных решений в системе управления и использования рабочего времени;</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проработка предложений по формированию модели работы предприятия «верхнего» уровня «как должно быть»;</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разработка проектов по организационным изменениям и внедрения методов процессного управления;</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оценка эффективности и затрат на реализацию разработанных проектов.</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 xml:space="preserve">В рамках разработки проектов по повышению производительности труда на предприятиях, проведена работа по подготовке заявок 22 предприятий – участников подпрограммы для включения в федеральную целевую программу «Повышение производительности труда и поддержка занятости в 2017-2025 годы».  </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В рамках работ по развитию промышленных кластеров в Республике Татарстан для повышения производительности труда и создания новых высокопроизводительных рабочих мест на предприятиях разработана организационная структура промышленного кластера производителей медицинского инструмента и медицинской техники Республики Татарстан в соответствии                      с требованиями Постановления Правительства Российской Федерации от 31.07.2015    № 779 с изменениями от 26.09.2016 «О промышленных кластерах и специализированных организациях промышленных кластеров».</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В состав промышленного кластера производителей медицинского инструмента и медицинской техники Республики Татарстан включены 21 предприятие и организации.</w:t>
      </w:r>
    </w:p>
    <w:p w:rsidR="00A02E0F" w:rsidRPr="00DC1538" w:rsidRDefault="00A02E0F" w:rsidP="00A02E0F">
      <w:pPr>
        <w:ind w:firstLine="709"/>
        <w:jc w:val="both"/>
        <w:rPr>
          <w:rFonts w:eastAsiaTheme="minorHAnsi"/>
          <w:sz w:val="28"/>
          <w:szCs w:val="28"/>
          <w:lang w:eastAsia="en-US"/>
        </w:rPr>
      </w:pPr>
      <w:r w:rsidRPr="00DC1538">
        <w:rPr>
          <w:rFonts w:eastAsiaTheme="minorHAnsi"/>
          <w:sz w:val="28"/>
          <w:szCs w:val="28"/>
          <w:lang w:eastAsia="en-US"/>
        </w:rPr>
        <w:t>Разработано и подписано Соглашение о создании промышленного кластера производителей медицинского инструмента и медицинской техники Республики Татарстан между Правительством Республики Татарстан и ООО «Промышленный кластер «Медтех», а также разработана и подана заявка в Министерстве промышленности и торговли Российской Федерации для включения промышленного кластера в реестр промышленных кластеров.</w:t>
      </w:r>
    </w:p>
    <w:p w:rsidR="00A02E0F" w:rsidRPr="00DC1538" w:rsidRDefault="00A02E0F" w:rsidP="00A02E0F">
      <w:pPr>
        <w:ind w:firstLine="709"/>
        <w:jc w:val="both"/>
        <w:rPr>
          <w:bCs/>
          <w:iCs/>
          <w:sz w:val="28"/>
          <w:szCs w:val="28"/>
        </w:rPr>
      </w:pPr>
      <w:r w:rsidRPr="00DC1538">
        <w:rPr>
          <w:sz w:val="28"/>
          <w:szCs w:val="28"/>
        </w:rPr>
        <w:t>По итогам 2017 года все индикаторы подпрограммы выполнены в полном объеме.</w:t>
      </w:r>
      <w:r w:rsidRPr="00DC1538">
        <w:rPr>
          <w:bCs/>
          <w:iCs/>
          <w:sz w:val="28"/>
          <w:szCs w:val="28"/>
        </w:rPr>
        <w:t xml:space="preserve"> </w:t>
      </w:r>
    </w:p>
    <w:p w:rsidR="00A02E0F" w:rsidRPr="00DC1538" w:rsidRDefault="00A02E0F" w:rsidP="00A02E0F">
      <w:pPr>
        <w:spacing w:before="120"/>
        <w:ind w:firstLine="709"/>
        <w:jc w:val="both"/>
        <w:rPr>
          <w:i/>
          <w:sz w:val="28"/>
          <w:szCs w:val="28"/>
        </w:rPr>
      </w:pPr>
      <w:r w:rsidRPr="00DC1538">
        <w:rPr>
          <w:i/>
          <w:sz w:val="28"/>
          <w:szCs w:val="28"/>
        </w:rPr>
        <w:t>5. Подпрограмма «Развитие Камского инновационного территориально-производственного кластера на 2015 - 2018 годы».</w:t>
      </w:r>
    </w:p>
    <w:p w:rsidR="00A02E0F" w:rsidRPr="00DC1538" w:rsidRDefault="00A02E0F" w:rsidP="00A02E0F">
      <w:pPr>
        <w:overflowPunct/>
        <w:autoSpaceDE/>
        <w:autoSpaceDN/>
        <w:adjustRightInd/>
        <w:ind w:firstLine="709"/>
        <w:jc w:val="both"/>
        <w:textAlignment w:val="auto"/>
        <w:rPr>
          <w:rFonts w:eastAsia="Calibri"/>
          <w:sz w:val="28"/>
          <w:szCs w:val="28"/>
          <w:lang w:eastAsia="en-US"/>
        </w:rPr>
      </w:pPr>
      <w:r w:rsidRPr="00DC1538">
        <w:rPr>
          <w:rFonts w:eastAsia="Calibri"/>
          <w:sz w:val="28"/>
          <w:szCs w:val="28"/>
          <w:lang w:eastAsia="en-US"/>
        </w:rPr>
        <w:t>В целях продвижения продукции участников Камского инновационного территориально-производственного кластера (далее - Камский кластер) на российские и мировые рынки, развития кооперации с автопромышленными и нефтехимическими предприятиями в 2017 году презентации и объединенная экспозиция «ИнноКам» были представлены на 60 коммуникативных и выставочно- ярмарочных мероприятиях, в том числе на 16 выставках в России и за рубежом. Кроме того, проведено 4 бизнес-миссии, 3 Дня поставщика, 3 Дня открытых дверей. Подписано более 30 соглашений с российскими и зарубежными партнерами о сотрудничестве, содействии в трансфере и локализации технологий.</w:t>
      </w:r>
    </w:p>
    <w:p w:rsidR="00A02E0F" w:rsidRPr="00DC1538" w:rsidRDefault="00A02E0F" w:rsidP="00A02E0F">
      <w:pPr>
        <w:overflowPunct/>
        <w:autoSpaceDE/>
        <w:autoSpaceDN/>
        <w:adjustRightInd/>
        <w:ind w:firstLine="709"/>
        <w:jc w:val="both"/>
        <w:textAlignment w:val="auto"/>
        <w:rPr>
          <w:rFonts w:eastAsia="Calibri"/>
          <w:sz w:val="28"/>
          <w:szCs w:val="28"/>
          <w:lang w:eastAsia="en-US"/>
        </w:rPr>
      </w:pPr>
      <w:r w:rsidRPr="00DC1538">
        <w:rPr>
          <w:rFonts w:eastAsia="Calibri"/>
          <w:sz w:val="28"/>
          <w:szCs w:val="28"/>
          <w:lang w:eastAsia="en-US"/>
        </w:rPr>
        <w:t>Кроме того, продолжают активно внедряться в работу новые инструменты поддержки участников кластера. Создан и активно работает Национальный портал субконтрактации «Innokam.pro», на котором участники кластера без посредников могут разместить заказы на сложнотехническую продукцию и подобрать проверенных поставщиков и партнеров. Сегодня на портале зарегистрировано уже более 600 участников. Среди них зарубежные компании из 11 стран: Бельгии, Болгарии, Германии, Чехии, Швейцарии, Люксембурга, Турции, Южной Кореи, Белоруссии, Казахстана, Киргизии.</w:t>
      </w:r>
    </w:p>
    <w:p w:rsidR="00A02E0F" w:rsidRPr="00DC1538" w:rsidRDefault="00A02E0F" w:rsidP="00A02E0F">
      <w:pPr>
        <w:overflowPunct/>
        <w:autoSpaceDE/>
        <w:autoSpaceDN/>
        <w:adjustRightInd/>
        <w:ind w:firstLine="709"/>
        <w:contextualSpacing/>
        <w:jc w:val="both"/>
        <w:textAlignment w:val="auto"/>
        <w:rPr>
          <w:rFonts w:eastAsia="Calibri"/>
          <w:sz w:val="28"/>
          <w:szCs w:val="28"/>
          <w:lang w:eastAsia="en-US"/>
        </w:rPr>
      </w:pPr>
      <w:r w:rsidRPr="00DC1538">
        <w:rPr>
          <w:rFonts w:eastAsia="Calibri"/>
          <w:sz w:val="28"/>
          <w:szCs w:val="28"/>
          <w:lang w:eastAsia="en-US"/>
        </w:rPr>
        <w:t xml:space="preserve">Вместе с тем дальнейшее эффективное развитие Камского кластера и Камской агломерации в целом сдерживается неразвитостью инфраструктуры, которая значительно отстает от потребностей промышленности. Так, автодорожная и железнодорожная инфраструктуры в Камской агломерации имеют ряд проблем по пропускной способности грузов, а планируемое к 2020 году увеличение грузопотоков в 3 раза может вызвать транспортный коллапс. Существенным вопросом является обеспечение нефтегазохимического комплекса углеводородным сырьем. </w:t>
      </w:r>
    </w:p>
    <w:p w:rsidR="00A02E0F" w:rsidRPr="00DC1538" w:rsidRDefault="00A02E0F" w:rsidP="00A02E0F">
      <w:pPr>
        <w:overflowPunct/>
        <w:autoSpaceDE/>
        <w:autoSpaceDN/>
        <w:adjustRightInd/>
        <w:ind w:firstLine="709"/>
        <w:jc w:val="both"/>
        <w:textAlignment w:val="auto"/>
        <w:rPr>
          <w:rFonts w:eastAsia="Calibri"/>
          <w:sz w:val="28"/>
          <w:szCs w:val="28"/>
          <w:lang w:eastAsia="en-US"/>
        </w:rPr>
      </w:pPr>
      <w:r w:rsidRPr="00DC1538">
        <w:rPr>
          <w:rFonts w:eastAsia="Calibri"/>
          <w:sz w:val="28"/>
          <w:szCs w:val="28"/>
          <w:lang w:eastAsia="en-US"/>
        </w:rPr>
        <w:t>Для снятия инфраструктурных ограничений по инициативе Республики Татарстана совместно с Минэкономразвития России была разработана Концепция создания территориально-обособленного инновационно-производственного центра «ИнноКам» (далее – Концепция). В июне 2016 года Концепция утверждена Правительством страны, что является признанием высокого уровня и значимости территории базирования Камского кластера для экономики России в целом.</w:t>
      </w:r>
    </w:p>
    <w:p w:rsidR="00A02E0F" w:rsidRPr="00DC1538" w:rsidRDefault="00A02E0F" w:rsidP="00A02E0F">
      <w:pPr>
        <w:overflowPunct/>
        <w:autoSpaceDE/>
        <w:autoSpaceDN/>
        <w:adjustRightInd/>
        <w:ind w:firstLine="709"/>
        <w:jc w:val="both"/>
        <w:textAlignment w:val="auto"/>
        <w:rPr>
          <w:bCs/>
          <w:sz w:val="28"/>
          <w:szCs w:val="28"/>
        </w:rPr>
      </w:pPr>
      <w:r w:rsidRPr="00DC1538">
        <w:rPr>
          <w:sz w:val="28"/>
          <w:szCs w:val="28"/>
        </w:rPr>
        <w:t xml:space="preserve">Основными направлениями Концепции являются: производство, инновации, качество жизни, инфраструктура и агломерация, институциональная среда. </w:t>
      </w:r>
    </w:p>
    <w:p w:rsidR="00A02E0F" w:rsidRPr="00DC1538" w:rsidRDefault="00A02E0F" w:rsidP="00A02E0F">
      <w:pPr>
        <w:overflowPunct/>
        <w:ind w:firstLine="709"/>
        <w:jc w:val="both"/>
        <w:textAlignment w:val="auto"/>
        <w:rPr>
          <w:rFonts w:eastAsiaTheme="minorHAnsi"/>
          <w:bCs/>
          <w:sz w:val="28"/>
          <w:szCs w:val="28"/>
          <w:lang w:eastAsia="en-US"/>
        </w:rPr>
      </w:pPr>
      <w:r w:rsidRPr="00DC1538">
        <w:rPr>
          <w:sz w:val="28"/>
          <w:szCs w:val="28"/>
          <w:lang w:eastAsia="en-US"/>
        </w:rPr>
        <w:t xml:space="preserve">В Концепции отражено 79 приоритетных инфраструктурных проектов, в том числе направленных на развитие транспортной, энергетической, жилищной, логистической инфраструктуры; модернизацию системообразующих отраслей и внедрение инноваций; развитие науки и высшего образования; совершенствование условий для предпринимательства, повышение эффективности муниципального управления. </w:t>
      </w:r>
      <w:r w:rsidRPr="00DC1538">
        <w:rPr>
          <w:rFonts w:eastAsiaTheme="minorHAnsi"/>
          <w:bCs/>
          <w:sz w:val="28"/>
          <w:szCs w:val="28"/>
          <w:lang w:eastAsia="en-US"/>
        </w:rPr>
        <w:t xml:space="preserve">Это позволит снять инфраструктурные ограничения для стимулирования наращивания производственных мощностей промышленных предприятий и создать благоприятную среду проживания населения Камской агломерации. </w:t>
      </w:r>
    </w:p>
    <w:p w:rsidR="00A02E0F" w:rsidRPr="00DC1538" w:rsidRDefault="00A02E0F" w:rsidP="00A02E0F">
      <w:pPr>
        <w:overflowPunct/>
        <w:autoSpaceDE/>
        <w:autoSpaceDN/>
        <w:adjustRightInd/>
        <w:ind w:firstLine="567"/>
        <w:jc w:val="both"/>
        <w:textAlignment w:val="auto"/>
        <w:rPr>
          <w:rFonts w:eastAsia="Calibri"/>
          <w:sz w:val="28"/>
          <w:szCs w:val="28"/>
          <w:lang w:eastAsia="en-US"/>
        </w:rPr>
      </w:pPr>
      <w:r w:rsidRPr="00DC1538">
        <w:rPr>
          <w:rFonts w:eastAsia="Calibri"/>
          <w:sz w:val="28"/>
          <w:szCs w:val="28"/>
          <w:lang w:eastAsia="en-US"/>
        </w:rPr>
        <w:t>Результатом реализации стратегических инициатив станет создание в Камском кластере высокотехнологичных производств, конкурентоспособных на мировом уровне. При этом производительность труда и объем экспорта увеличится к 2020 году в 1,5 раза, а объем привлеченных инвестиций составит более 700 млрд рублей.</w:t>
      </w:r>
    </w:p>
    <w:p w:rsidR="00A02E0F" w:rsidRPr="00DC1538" w:rsidRDefault="00A02E0F" w:rsidP="00A02E0F">
      <w:pPr>
        <w:overflowPunct/>
        <w:autoSpaceDE/>
        <w:autoSpaceDN/>
        <w:adjustRightInd/>
        <w:ind w:firstLine="567"/>
        <w:jc w:val="both"/>
        <w:textAlignment w:val="auto"/>
        <w:rPr>
          <w:rFonts w:eastAsia="Calibri"/>
          <w:sz w:val="28"/>
          <w:szCs w:val="28"/>
          <w:lang w:eastAsia="en-US"/>
        </w:rPr>
      </w:pPr>
      <w:r w:rsidRPr="00DC1538">
        <w:rPr>
          <w:rFonts w:eastAsia="Calibri"/>
          <w:sz w:val="28"/>
          <w:szCs w:val="28"/>
          <w:lang w:eastAsia="en-US"/>
        </w:rPr>
        <w:t>Дальнейшие направления развития Камского кластера определены в Стратегии развития Камского инновационного территориально-производственного кластера на период до 2020 года с перспективой на 5 следующих лет.</w:t>
      </w:r>
    </w:p>
    <w:p w:rsidR="00A02E0F" w:rsidRPr="00DC1538" w:rsidRDefault="00A02E0F" w:rsidP="00A02E0F">
      <w:pPr>
        <w:tabs>
          <w:tab w:val="left" w:pos="284"/>
        </w:tabs>
        <w:overflowPunct/>
        <w:autoSpaceDE/>
        <w:autoSpaceDN/>
        <w:adjustRightInd/>
        <w:ind w:firstLine="567"/>
        <w:jc w:val="both"/>
        <w:textAlignment w:val="auto"/>
        <w:rPr>
          <w:rFonts w:eastAsia="Calibri"/>
          <w:i/>
          <w:sz w:val="28"/>
          <w:szCs w:val="28"/>
          <w:shd w:val="clear" w:color="auto" w:fill="FFFFFF"/>
          <w:lang w:eastAsia="en-US"/>
        </w:rPr>
      </w:pPr>
      <w:r w:rsidRPr="00DC1538">
        <w:rPr>
          <w:rFonts w:eastAsia="Calibri"/>
          <w:sz w:val="28"/>
          <w:szCs w:val="28"/>
          <w:lang w:eastAsia="en-US"/>
        </w:rPr>
        <w:t>Приоритеты развития Камского кластера в этот период интегрируют 4 стратегические инициативы и 5 приоритетных направлений</w:t>
      </w:r>
      <w:r w:rsidRPr="00DC1538">
        <w:rPr>
          <w:rFonts w:eastAsia="Calibri"/>
          <w:i/>
          <w:sz w:val="28"/>
          <w:szCs w:val="28"/>
          <w:shd w:val="clear" w:color="auto" w:fill="FFFFFF"/>
          <w:lang w:eastAsia="en-US"/>
        </w:rPr>
        <w:t>.</w:t>
      </w:r>
    </w:p>
    <w:p w:rsidR="00A02E0F" w:rsidRPr="00DC1538" w:rsidRDefault="00A02E0F" w:rsidP="00A02E0F">
      <w:pPr>
        <w:widowControl w:val="0"/>
        <w:ind w:firstLine="709"/>
        <w:jc w:val="both"/>
        <w:rPr>
          <w:sz w:val="28"/>
          <w:szCs w:val="28"/>
          <w:lang w:eastAsia="en-US"/>
        </w:rPr>
      </w:pPr>
      <w:r w:rsidRPr="00DC1538">
        <w:rPr>
          <w:sz w:val="27"/>
          <w:szCs w:val="27"/>
        </w:rPr>
        <w:t xml:space="preserve">Вместе с тем в 2016-2018 гг. средств в федеральном бюджете на развитие инновационных территориальных кластеров в рамках реализации государственной программы Российской Федерации «Экономическое развитие и инновационная экономика» не предусмотрено. </w:t>
      </w:r>
      <w:r w:rsidRPr="00DC1538">
        <w:rPr>
          <w:sz w:val="28"/>
          <w:szCs w:val="28"/>
          <w:lang w:eastAsia="en-US"/>
        </w:rPr>
        <w:t>При этом на обеспечение текущей деятельности специализированной организации Камского кластера – Ассоциации «Некоммерческое партнерство «Камский инновационный территориально-производственный кластер» из бюджета Республики Татарстан в 2017 году в рамках подпрограммы «Развитие Камского инновационного территориально-производственного кластера на 2015 - 2018 годы» было выделено 18,4 млн рублей (ежегодно – 18,4 млн рублей).</w:t>
      </w:r>
    </w:p>
    <w:p w:rsidR="00A02E0F" w:rsidRPr="00DC1538" w:rsidRDefault="00A02E0F" w:rsidP="00A02E0F">
      <w:pPr>
        <w:widowControl w:val="0"/>
        <w:ind w:firstLine="709"/>
        <w:jc w:val="both"/>
        <w:rPr>
          <w:sz w:val="27"/>
          <w:szCs w:val="27"/>
        </w:rPr>
      </w:pPr>
      <w:r w:rsidRPr="00DC1538">
        <w:rPr>
          <w:sz w:val="27"/>
          <w:szCs w:val="27"/>
        </w:rPr>
        <w:t xml:space="preserve">За 2017 год объем вложенных инвестиций в развитие Камского кластера составил более 110 млрд рублей, а количество отгруженной продукции организаций-участников кластера достигло более 700 млрд рублей, в кластере трудятся более 110 тысяч работников из 300 организаций - участников кластера, причем производительность труда, т.е. выработка на одного работника, составляет более 6 млн рублей в год. </w:t>
      </w:r>
    </w:p>
    <w:p w:rsidR="00A02E0F" w:rsidRPr="00DC1538" w:rsidRDefault="00A02E0F" w:rsidP="00A02E0F">
      <w:pPr>
        <w:ind w:right="-1" w:firstLine="709"/>
        <w:jc w:val="both"/>
        <w:rPr>
          <w:sz w:val="28"/>
          <w:szCs w:val="28"/>
        </w:rPr>
      </w:pPr>
      <w:r w:rsidRPr="00DC1538">
        <w:rPr>
          <w:sz w:val="28"/>
          <w:szCs w:val="28"/>
        </w:rPr>
        <w:t>Также Ассоциацией «Некоммерческое партнерство «Камский инновационный территориально-производственный кластер» при поддержке Министерства экономики Республики Татарстан была реализована программа по развитию импортозамещающих производств в Камском кластере, благодаря которой в 2017 году в кластере был осуществлен запуск 11 новых производств по выпуску тросовых приводов, тормозных механизмов для грузового автотранспорта, шторных полуприцепов, рукавной полимерной упаковки, широкой линейки гидравлической аппаратуры, полиуретановых систем, новых видов жгутов, кабельно-проводниковой продукции и хоккейных клюшек, в том числе резидентов ОЭЗ «Алабуга» и ТОСЭР «Набережные Челны». За счет выделенной субсидии в рамках программы для предприятий Камского кластера были выполнены маркетинговые исследования, разработаны конструкторские документации, оказаны услуги по регистрации товарного знака и инжинирингу в области технологической подготовки производства, проведен надзорный аудит на соответствие требованиям стандартов ISO, проведено повышение квалификации и аттестация персонала предприятий, а также оказаны иные консультационные услуги.</w:t>
      </w:r>
    </w:p>
    <w:p w:rsidR="00A02E0F" w:rsidRPr="00DC1538" w:rsidRDefault="00A02E0F" w:rsidP="00A02E0F">
      <w:pPr>
        <w:overflowPunct/>
        <w:autoSpaceDE/>
        <w:autoSpaceDN/>
        <w:adjustRightInd/>
        <w:ind w:right="-1" w:firstLine="709"/>
        <w:jc w:val="both"/>
        <w:textAlignment w:val="auto"/>
        <w:rPr>
          <w:sz w:val="28"/>
          <w:szCs w:val="28"/>
        </w:rPr>
      </w:pPr>
      <w:r w:rsidRPr="00DC1538">
        <w:rPr>
          <w:sz w:val="28"/>
          <w:szCs w:val="28"/>
        </w:rPr>
        <w:t>По итогам реализации мероприятий подпрограммы были значительно перевыполнены плановые значения по 4 индикаторам:</w:t>
      </w:r>
    </w:p>
    <w:p w:rsidR="00A02E0F" w:rsidRPr="00DC1538" w:rsidRDefault="00A02E0F" w:rsidP="00A02E0F">
      <w:pPr>
        <w:overflowPunct/>
        <w:autoSpaceDE/>
        <w:autoSpaceDN/>
        <w:adjustRightInd/>
        <w:ind w:right="-1" w:firstLine="709"/>
        <w:jc w:val="both"/>
        <w:textAlignment w:val="auto"/>
        <w:rPr>
          <w:sz w:val="28"/>
          <w:szCs w:val="28"/>
        </w:rPr>
      </w:pPr>
      <w:r w:rsidRPr="00DC1538">
        <w:rPr>
          <w:sz w:val="28"/>
          <w:szCs w:val="28"/>
        </w:rPr>
        <w:t>- «численность работников организаций – участников Кластера, принявших участие в выставочно-ярмарочных и коммуникативных мероприятиях, проводимых в Российской Федерации и за рубежом» составила 70 человек при запланированном значении 30 человек (выполнение 233%). Перевыполнение обусловлено реализацией на территории расположения Камского кластера (г.Набережные Челны и 5 муниципальных районов) комплекса мероприятий в рамках развития моногородов, расширением мер поддержки субъектов МСП, в том числе за счет развития промышленных парков, индустриальных парков и объектов инновационной инфраструктуры;</w:t>
      </w:r>
    </w:p>
    <w:p w:rsidR="00A02E0F" w:rsidRPr="00DC1538" w:rsidRDefault="00A02E0F" w:rsidP="00A02E0F">
      <w:pPr>
        <w:overflowPunct/>
        <w:autoSpaceDE/>
        <w:autoSpaceDN/>
        <w:adjustRightInd/>
        <w:ind w:right="-1" w:firstLine="709"/>
        <w:jc w:val="both"/>
        <w:textAlignment w:val="auto"/>
        <w:rPr>
          <w:sz w:val="28"/>
          <w:szCs w:val="28"/>
        </w:rPr>
      </w:pPr>
      <w:r w:rsidRPr="00DC1538">
        <w:rPr>
          <w:sz w:val="28"/>
          <w:szCs w:val="28"/>
        </w:rPr>
        <w:t>- «рост объема отгруженной организациями – участниками Кластера инновационной продукции собственного производства, а также инновационных работ и услуг, выполненных собственными силами, в стоимостном выражении (по отношению к предыдущему году)» составил 8,9% при запланированном значении 4% (выполнение 222%).</w:t>
      </w:r>
      <w:r w:rsidRPr="00DC1538">
        <w:t xml:space="preserve"> </w:t>
      </w:r>
      <w:r w:rsidRPr="00DC1538">
        <w:rPr>
          <w:sz w:val="28"/>
          <w:szCs w:val="28"/>
        </w:rPr>
        <w:t>Перевыполнение показателя обусловлено повышением эффективности использования производственных ресурсов предприятиями-участниками Кластера, открытием новых инновационных производств и как следствие увеличение объемов производства инновационных товаров, работ и услуг;</w:t>
      </w:r>
    </w:p>
    <w:p w:rsidR="00A02E0F" w:rsidRPr="00DC1538" w:rsidRDefault="00A02E0F" w:rsidP="00A02E0F">
      <w:pPr>
        <w:overflowPunct/>
        <w:autoSpaceDE/>
        <w:autoSpaceDN/>
        <w:adjustRightInd/>
        <w:ind w:right="-1" w:firstLine="709"/>
        <w:jc w:val="both"/>
        <w:textAlignment w:val="auto"/>
        <w:rPr>
          <w:sz w:val="28"/>
          <w:szCs w:val="28"/>
        </w:rPr>
      </w:pPr>
      <w:r w:rsidRPr="00DC1538">
        <w:rPr>
          <w:sz w:val="28"/>
          <w:szCs w:val="28"/>
        </w:rPr>
        <w:t>- «рост совокупной выручки организаций – участников Камского Кластера от продаж продукции на внешнем рынке, в стоимостном выражении (по отношению к предыдущему году)» составил 15,9% при запланированном значении 5% (выполнение 318%).</w:t>
      </w:r>
      <w:r w:rsidRPr="00DC1538">
        <w:t xml:space="preserve"> </w:t>
      </w:r>
      <w:r w:rsidRPr="00DC1538">
        <w:rPr>
          <w:sz w:val="28"/>
          <w:szCs w:val="28"/>
        </w:rPr>
        <w:t>Перевыполнение показателя обусловлено увеличением объемов разработки, изготовления и вывода на рынок наукоемкой конкурентоспособной продукции предприятиями-участниками кластера, в том числе по программам импортозамещения, а также расширением географии поставок продукции, работ и услуг в страны ближнего зарубежья;</w:t>
      </w:r>
    </w:p>
    <w:p w:rsidR="00A02E0F" w:rsidRPr="00DC1538" w:rsidRDefault="00A02E0F" w:rsidP="00A02E0F">
      <w:pPr>
        <w:overflowPunct/>
        <w:autoSpaceDE/>
        <w:autoSpaceDN/>
        <w:adjustRightInd/>
        <w:ind w:right="-1" w:firstLine="709"/>
        <w:jc w:val="both"/>
        <w:textAlignment w:val="auto"/>
        <w:rPr>
          <w:sz w:val="28"/>
          <w:szCs w:val="28"/>
        </w:rPr>
      </w:pPr>
      <w:r w:rsidRPr="00DC1538">
        <w:rPr>
          <w:sz w:val="28"/>
          <w:szCs w:val="28"/>
        </w:rPr>
        <w:t>- «рост выработки на одного работника организаций – участника Кластера, в стоимостном выражении (по отношению к предыдущему году)» составил 13,8% при запланированном значении 5% (выполнение 230%). Высокий процент выполнения связан с более высоким ростом объема отгруженной продукции в 2017 году по сравнению с 2016 годом, а также вводом новых высокотехнологичных производств в кластере.</w:t>
      </w:r>
    </w:p>
    <w:p w:rsidR="00A02E0F" w:rsidRPr="00DC1538" w:rsidRDefault="00A02E0F" w:rsidP="00A02E0F">
      <w:pPr>
        <w:spacing w:before="120"/>
        <w:ind w:firstLine="709"/>
        <w:jc w:val="both"/>
        <w:rPr>
          <w:i/>
          <w:sz w:val="28"/>
          <w:szCs w:val="28"/>
        </w:rPr>
      </w:pPr>
      <w:r w:rsidRPr="00DC1538">
        <w:rPr>
          <w:i/>
          <w:sz w:val="28"/>
          <w:szCs w:val="28"/>
        </w:rPr>
        <w:t>6. Подпрограмма «Развитие рынка интеллектуальной собственности в Республике Татарстан на 2016 – 2020 годы».</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В 2017 году в рамках реализации подпрограммы оказана государственная поддержка из бюджета Республики Татарстан на проведение ряда мероприятий, направленных на повышение конкурентоспособности республиканских товаропроизводителей на отечественном и зарубежных рынках за счет эффективного управления интеллектуальной собственностью:</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разработан Стандарт развития Республики Татарстан в сфере интеллектуальной собственности, определяющий основные процедуры развития системы интеллектуальной собственности в республике. Стандарт устанавливает требования к осуществлению деятельности органов государственной власти Республики Татарстан, направленные на создание условий для развития сферы образования, науки, производства товаров и услуг, базирующихся на эффективном управлении интеллектуальной собственностью на основе системного и единообразного подхода на территории Республики Татарстан в интересах конечного потребителя данного документа;</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разработан сборник лучших практик в сфере интеллектуальной собственности, включающий:</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исследование зарубежного и отечественного опыта развития сферы интеллектуальной собственности на уровне территорий;</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обобщение и систематизация показателей деятельности институтов интеллектуальной собственности территорий;</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выявление и анализ лучших практик в сфере интеллектуальной собственности;</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на предприятиях Машиностроительного кластера (ООО «КОРА», ООО «ЗМТ», ООО ППФ «АВТОДИЗАЙН») и энергетического комплекса (ОАО «Сетевая компания» и ООО «Татэнергосбыт») проведены работы:</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по обследованию предприятий с целью инвентаризации, экспертизы, выявления проблем в сфере осуществления технологических инноваций, продвижения технологий на российский и международный рынки, а также мероприятия по проведению картирования существующих потоков интеллектуальной собственности, проектированию и внедрению системы планирования и контроля производства и научно-исследовательских, опытно-конструкторских и технологических работ;</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анализу текущего состояния сферы управления интеллектуальной собственностью и созданию системы управления правами на интеллектуальную собственность. Разработаны и установлены пробные специализированные модули для ввода необходимой информации по результатам интеллектуальной деятельности. По результатам предпроектных исследований, установки и апробации пробных модулей разработан комплект проектов руководящих документов по управлению правами на интеллектуальную собственность на предприятиях.</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проведены образовательные мероприятия в сфере управления интеллектуальной собственностью для трех категорий специалистов группы «Татнефть» (инженерно-технических работников, управленческого персонала и финансово-экономических служб) объемом 158 академических часов каждая.</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Учебный процесс, организованный с применением современных технологий и методик обучения, учитывал лучшие практики в сфере управления результатами интеллектуальной деятельности и нематериальными активами в Российской Федерации и за рубежом, что позволило повысить квалификацию 100 специалистам предприятий Группы «Татнефть» и получить необходимые компетенции: знания, умения и навыки оформления прав на результаты интеллектуальной деятельности, разработки и внедрения в организации системы управления и коммерциализации интеллектуальной собственности.</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xml:space="preserve">Развитие рынка интеллектуальной собственности в Республике Татарстан хорошо корреспондируется с Международным проектом по созданию Центров поддержки технологий и инноваций (далее – ЦПТИ), инициированным Всемирной организацией интеллектуальной собственности (ВОИС). </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Этот проект реализуется в республике с 2012 года совместно с Федеральной службой по интеллектуальной собственности (Роспатентом). По итогам 2017 года региональная сеть ЦПТИ Татарстана является крупнейшей в Российской Федерации и объединила 26 организаций (промышленных предприятий, университетов, научных учреждений, объектов инновационной инфраструктуры).</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В 2017 году подписаны соглашения о создании ЦПТИ на базе НГДУ «Альметьевнефть», ПАО «Казаньоргсинтез», НГДУ «Бавлынефть», Ассоциации «НП «КИТПК».</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В феврале 2017 года в г.Казани проведен II Международный форум «Интеллектуальная собственность и экономика регионов России», в рамках которого в целях повышения образовательного уровня специалистов Российской Федерации, работающих в сфере интеллектуальной собственности, состоялся V Съезд Центров поддержки технологий и инноваций. В работе форума приняли участие около 200 человек из 27 регионов России, а также представители зарубежных организаций.</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Специалисты предприятий и организаций Республики Татарстан в 2017 году приняли участие в работе:</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обучающего семинара для сотрудников Центров поддержки технологий и инноваций России, организуемый Всемирной организацией интеллектуальной собственности совместно с Роспатентом и Федеральным институтом промышленной собственности (ФИПС) с 25 по 26 апреля 2017 года в г. Москве;</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круглого стола и семинара по патентованию продукции НИОКР и регистрации товарных знаков на рынках Северной Америки и Западной Европы с участием представителей компании BCF 1 июня 2017 года в ИТ-парке г.Казани;</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VI Региональной научно-практической конференции «Формирование и развитие рынка интеллектуальной собственности в регионе» 21 июня 2017 года в Академии наук Республики Татарстан;</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образовательного семинара на тему: «Инструменты государственной финансовой поддержки и алгоритмы их получения. Построение системы монетизации интеллектуальной собственности» 4 июля 2017 года в Министерстве экономики Республики Татарстан;</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семинара на тему: «Охрана интеллектуальной собственности в России и за рубежом. Новые перспективы», организованный совместно с юридической компанией «Городисский и партнеры» 5 октября 2017 года в Министерстве экономики Республики Татарстан;</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X Международного форума Интеллектуальная собственность – XXI век: «Инновации: повышение качества жизни», посвященный актуальным вопросам правовой охраны и защиты интеллектуальной собственности, который проходил в Торгово-промышленной палате Российской Федерации, в Международном торговом центре и в Роспатенте с 25 по 28 апреля 2017 года;</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Региональной научно-практической конференции «Формирование и развитие рынка интеллектуальной собственности в регионе: математический анализ и прогноз стоимости и коммерческого оборота объектов интеллектуальной собственности» 22 июня 2017 года в Казанском (Приволжском) федеральном университете и др.</w:t>
      </w:r>
    </w:p>
    <w:p w:rsidR="00A02E0F" w:rsidRPr="00DC1538" w:rsidRDefault="00A02E0F" w:rsidP="00A02E0F">
      <w:pPr>
        <w:overflowPunct/>
        <w:autoSpaceDE/>
        <w:autoSpaceDN/>
        <w:adjustRightInd/>
        <w:ind w:right="-1" w:firstLine="709"/>
        <w:jc w:val="both"/>
        <w:textAlignment w:val="auto"/>
        <w:rPr>
          <w:sz w:val="28"/>
          <w:szCs w:val="28"/>
        </w:rPr>
      </w:pPr>
      <w:r w:rsidRPr="00DC1538">
        <w:rPr>
          <w:sz w:val="28"/>
          <w:szCs w:val="28"/>
        </w:rPr>
        <w:t xml:space="preserve">По итогам реализации мероприятий подпрограммы были значительно перевыполнены плановые значения по 2 индикаторам: </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«количество предприятий, участвующих в создании систем управления правами на интеллектуальную собственность предприятий» составило 3 единицы при запланированном значении 2 единицы (выполнение 150%). Для повышения качества результатов НИР проведены работы по всем трем заявленным предприятиям, без увеличения стоимости выполняемой НИР;</w:t>
      </w:r>
    </w:p>
    <w:p w:rsidR="00A02E0F" w:rsidRPr="00DC1538" w:rsidRDefault="00A02E0F" w:rsidP="00A02E0F">
      <w:pPr>
        <w:overflowPunct/>
        <w:autoSpaceDE/>
        <w:autoSpaceDN/>
        <w:adjustRightInd/>
        <w:ind w:firstLine="709"/>
        <w:jc w:val="both"/>
        <w:textAlignment w:val="auto"/>
        <w:rPr>
          <w:sz w:val="28"/>
          <w:szCs w:val="28"/>
        </w:rPr>
      </w:pPr>
      <w:r w:rsidRPr="00DC1538">
        <w:rPr>
          <w:sz w:val="28"/>
          <w:szCs w:val="28"/>
        </w:rPr>
        <w:t>- «количество научно-технических, экономических и методических мероприятий составило 10 единиц при запланированном значении 3 единицы (выполнение 333%). В целях популяризации деятельности, связанной с коммерциализацией, управлением, охраной и защитой интеллектуальной собственности предприятий и организаций Республики Татарстан, а также в целях повышения уровня квалификации специалистов, работающих в сфере интеллектуальной собственности проведено и организовано дополнительное количество мероприятий с привлечением внебюджетных средств.</w:t>
      </w:r>
    </w:p>
    <w:p w:rsidR="00A02E0F" w:rsidRPr="00DC1538" w:rsidRDefault="00A02E0F" w:rsidP="00A02E0F">
      <w:pPr>
        <w:overflowPunct/>
        <w:autoSpaceDE/>
        <w:autoSpaceDN/>
        <w:adjustRightInd/>
        <w:spacing w:before="120"/>
        <w:ind w:firstLine="709"/>
        <w:jc w:val="both"/>
        <w:textAlignment w:val="auto"/>
        <w:rPr>
          <w:i/>
          <w:sz w:val="28"/>
          <w:szCs w:val="28"/>
        </w:rPr>
      </w:pPr>
      <w:r w:rsidRPr="00DC1538">
        <w:rPr>
          <w:i/>
          <w:sz w:val="28"/>
          <w:szCs w:val="28"/>
        </w:rPr>
        <w:t>7. Подпрограмма «Создание и развитие индустриальных (промышленных) парков и промышленных площадок муниципального уровня на территории Республики Татарстан на 2017-2020 годы».</w:t>
      </w:r>
    </w:p>
    <w:p w:rsidR="00A02E0F" w:rsidRPr="00DC1538" w:rsidRDefault="00A02E0F" w:rsidP="00A02E0F">
      <w:pPr>
        <w:overflowPunct/>
        <w:autoSpaceDE/>
        <w:autoSpaceDN/>
        <w:adjustRightInd/>
        <w:ind w:right="-1" w:firstLine="709"/>
        <w:jc w:val="both"/>
        <w:textAlignment w:val="auto"/>
        <w:rPr>
          <w:rFonts w:eastAsiaTheme="minorHAnsi"/>
          <w:sz w:val="28"/>
          <w:szCs w:val="28"/>
          <w:lang w:eastAsia="en-US"/>
        </w:rPr>
      </w:pPr>
      <w:r w:rsidRPr="00DC1538">
        <w:rPr>
          <w:rFonts w:eastAsiaTheme="minorHAnsi"/>
          <w:sz w:val="28"/>
          <w:szCs w:val="28"/>
          <w:lang w:eastAsia="en-US"/>
        </w:rPr>
        <w:t>В рамках указанной подпрограммы с 2017 года реализуется программа по субсидированию затрат, связанных с уплатой процентов по кредитам, полученным на строительство (реконструкцию) инженерной инфраструктуры, производственных зданий, а также приобретение оборудования.</w:t>
      </w:r>
    </w:p>
    <w:p w:rsidR="00A02E0F" w:rsidRPr="00DC1538" w:rsidRDefault="00A02E0F" w:rsidP="00A02E0F">
      <w:pPr>
        <w:overflowPunct/>
        <w:autoSpaceDE/>
        <w:autoSpaceDN/>
        <w:adjustRightInd/>
        <w:ind w:right="-1" w:firstLine="709"/>
        <w:jc w:val="both"/>
        <w:textAlignment w:val="auto"/>
        <w:rPr>
          <w:rFonts w:eastAsia="Calibri"/>
          <w:b/>
          <w:sz w:val="28"/>
          <w:szCs w:val="28"/>
          <w:lang w:eastAsia="en-US"/>
        </w:rPr>
      </w:pPr>
      <w:r w:rsidRPr="00DC1538">
        <w:rPr>
          <w:rFonts w:eastAsia="Calibri"/>
          <w:sz w:val="28"/>
          <w:szCs w:val="28"/>
          <w:lang w:eastAsia="en-US"/>
        </w:rPr>
        <w:t xml:space="preserve">С 2014 года Министерством экономики Республики Татарстан проводится аккредитация субъектов имущественной инфраструктуры поддержки предпринимательства. По итогам 2017 года аккредитованы 6 индустриальных (промышленных) парков, 31 действующая промышленная площадка муниципального уровня, 5 создаваемых индустриальных (промышленных) парков, 2 создаваемые промышленные площадки муниципального уровня, 4 бизнес-инкубатора. </w:t>
      </w:r>
    </w:p>
    <w:p w:rsidR="00A02E0F" w:rsidRPr="00DC1538" w:rsidRDefault="00A02E0F" w:rsidP="00A02E0F">
      <w:pPr>
        <w:overflowPunct/>
        <w:ind w:right="-1" w:firstLine="709"/>
        <w:jc w:val="both"/>
        <w:textAlignment w:val="auto"/>
        <w:rPr>
          <w:rFonts w:eastAsiaTheme="minorHAnsi"/>
          <w:sz w:val="28"/>
          <w:szCs w:val="28"/>
          <w:lang w:eastAsia="en-US"/>
        </w:rPr>
      </w:pPr>
      <w:r w:rsidRPr="00DC1538">
        <w:rPr>
          <w:rFonts w:eastAsiaTheme="minorHAnsi"/>
          <w:sz w:val="28"/>
          <w:szCs w:val="28"/>
          <w:lang w:eastAsia="en-US"/>
        </w:rPr>
        <w:t>Имущественная поддержка предпринимательства оказывается не только через инфраструктурные проекты. В республике также проводится работа по утверждению перечня имущества, свободного от прав третьих лиц, для предоставления, в том числе по льготным ставкам арендной платы, субъектам малого и среднего предпринимательства.</w:t>
      </w:r>
    </w:p>
    <w:p w:rsidR="00A02E0F" w:rsidRPr="00DC1538" w:rsidRDefault="00A02E0F" w:rsidP="00A02E0F">
      <w:pPr>
        <w:widowControl w:val="0"/>
        <w:shd w:val="clear" w:color="auto" w:fill="FFFFFF"/>
        <w:overflowPunct/>
        <w:autoSpaceDE/>
        <w:autoSpaceDN/>
        <w:adjustRightInd/>
        <w:ind w:right="-1" w:firstLine="709"/>
        <w:jc w:val="both"/>
        <w:textAlignment w:val="auto"/>
        <w:rPr>
          <w:rFonts w:eastAsiaTheme="minorHAnsi"/>
          <w:sz w:val="28"/>
          <w:szCs w:val="28"/>
          <w:lang w:eastAsia="en-US"/>
        </w:rPr>
      </w:pPr>
      <w:r w:rsidRPr="00DC1538">
        <w:rPr>
          <w:rFonts w:eastAsiaTheme="minorHAnsi"/>
          <w:sz w:val="28"/>
          <w:szCs w:val="28"/>
          <w:lang w:eastAsia="en-US"/>
        </w:rPr>
        <w:t xml:space="preserve">Перечни муниципального имущества утверждены во всех муниципальных районах и городских округах Республики Татарстан, а также в 18 городских и 5 сельских поселениях республики. В настоящее время в указанные перечни включено 575 объектов движимого и недвижимого имущества. </w:t>
      </w:r>
    </w:p>
    <w:p w:rsidR="00A02E0F" w:rsidRPr="00DC1538" w:rsidRDefault="00A02E0F" w:rsidP="00A02E0F">
      <w:pPr>
        <w:ind w:firstLine="709"/>
        <w:jc w:val="both"/>
        <w:rPr>
          <w:sz w:val="28"/>
          <w:szCs w:val="28"/>
        </w:rPr>
      </w:pPr>
      <w:r w:rsidRPr="00DC1538">
        <w:rPr>
          <w:sz w:val="28"/>
          <w:szCs w:val="28"/>
        </w:rPr>
        <w:t>По итогам реализации мероприятий подпрограммы не выполнены плановые значения по 1 индикатору:</w:t>
      </w:r>
    </w:p>
    <w:p w:rsidR="00A02E0F" w:rsidRPr="00DC1538" w:rsidRDefault="00A02E0F" w:rsidP="00A02E0F">
      <w:pPr>
        <w:overflowPunct/>
        <w:ind w:firstLine="709"/>
        <w:jc w:val="both"/>
        <w:textAlignment w:val="auto"/>
        <w:rPr>
          <w:sz w:val="28"/>
          <w:szCs w:val="28"/>
        </w:rPr>
      </w:pPr>
      <w:r w:rsidRPr="00DC1538">
        <w:rPr>
          <w:sz w:val="28"/>
          <w:szCs w:val="28"/>
        </w:rPr>
        <w:t xml:space="preserve">- «количество резидентов </w:t>
      </w:r>
      <w:r w:rsidRPr="00DC1538">
        <w:rPr>
          <w:sz w:val="28"/>
          <w:szCs w:val="28"/>
          <w:lang w:eastAsia="en-US"/>
        </w:rPr>
        <w:t xml:space="preserve">индустриального (промышленного) парка и (или) промышленной площадки муниципального уровня» </w:t>
      </w:r>
      <w:r w:rsidRPr="00DC1538">
        <w:rPr>
          <w:sz w:val="28"/>
          <w:szCs w:val="28"/>
        </w:rPr>
        <w:t>составило 1552 единицы при запланированном значении 1669 единиц (выполнение 93%).</w:t>
      </w:r>
      <w:r w:rsidRPr="00DC1538">
        <w:t xml:space="preserve"> </w:t>
      </w:r>
      <w:r w:rsidRPr="00DC1538">
        <w:rPr>
          <w:sz w:val="28"/>
          <w:szCs w:val="28"/>
        </w:rPr>
        <w:t>Не достижение показателя связано с отсутствием финансирования из федерального бюджета на строительство новых индустриальных (промышленных) парков.</w:t>
      </w:r>
    </w:p>
    <w:p w:rsidR="00A02E0F" w:rsidRPr="00DC1538" w:rsidRDefault="00A02E0F" w:rsidP="00A02E0F">
      <w:pPr>
        <w:ind w:firstLine="709"/>
        <w:jc w:val="both"/>
        <w:rPr>
          <w:sz w:val="28"/>
          <w:szCs w:val="28"/>
        </w:rPr>
      </w:pPr>
      <w:r w:rsidRPr="00DC1538">
        <w:rPr>
          <w:sz w:val="28"/>
          <w:szCs w:val="28"/>
        </w:rPr>
        <w:t>В целом по итогам анализа отмечаем, что Программа реализована с высоким уровнем эффективности, так как достигнуты плановые значения 99,6% индикаторов Программы.</w:t>
      </w:r>
    </w:p>
    <w:p w:rsidR="00203887" w:rsidRDefault="00203887"/>
    <w:sectPr w:rsidR="00203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4C"/>
    <w:rsid w:val="0006054C"/>
    <w:rsid w:val="00203887"/>
    <w:rsid w:val="004E0042"/>
    <w:rsid w:val="00930510"/>
    <w:rsid w:val="00A0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00CF3-BED9-4BD7-8887-62C8CB3C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E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5967</Words>
  <Characters>34015</Characters>
  <Application>Microsoft Office Word</Application>
  <DocSecurity>4</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Шарипова Эльвира Радиковна</dc:creator>
  <cp:keywords/>
  <dc:description/>
  <cp:lastModifiedBy>Ёлкина Светлана Анатольевна</cp:lastModifiedBy>
  <cp:revision>2</cp:revision>
  <dcterms:created xsi:type="dcterms:W3CDTF">2019-03-20T10:41:00Z</dcterms:created>
  <dcterms:modified xsi:type="dcterms:W3CDTF">2019-03-20T10:41:00Z</dcterms:modified>
</cp:coreProperties>
</file>